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8D6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pP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20</w:t>
      </w:r>
      <w:r>
        <w:rPr>
          <w:rFonts w:hint="eastAsia" w:ascii="方正大标宋简体" w:hAnsi="微软雅黑" w:eastAsia="方正大标宋简体"/>
          <w:color w:val="000000" w:themeColor="text1"/>
          <w:spacing w:val="-20"/>
          <w:sz w:val="44"/>
          <w:szCs w:val="44"/>
          <w:highlight w:val="none"/>
          <w:shd w:val="clear" w:color="auto" w:fill="FFFFFF"/>
          <w:lang w:val="en-US" w:eastAsia="zh-CN"/>
          <w14:textFill>
            <w14:solidFill>
              <w14:schemeClr w14:val="tx1"/>
            </w14:solidFill>
          </w14:textFill>
        </w:rPr>
        <w:t>24</w:t>
      </w: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年度</w:t>
      </w:r>
      <w:r>
        <w:rPr>
          <w:rFonts w:hint="eastAsia" w:ascii="方正大标宋简体" w:hAnsi="微软雅黑" w:eastAsia="方正大标宋简体"/>
          <w:color w:val="000000" w:themeColor="text1"/>
          <w:spacing w:val="-20"/>
          <w:sz w:val="44"/>
          <w:szCs w:val="44"/>
          <w:highlight w:val="none"/>
          <w:shd w:val="clear" w:color="auto" w:fill="FFFFFF"/>
          <w:lang w:eastAsia="zh-CN"/>
          <w14:textFill>
            <w14:solidFill>
              <w14:schemeClr w14:val="tx1"/>
            </w14:solidFill>
          </w14:textFill>
        </w:rPr>
        <w:t>南京市绿化园林局</w:t>
      </w: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绿色南京专项资金</w:t>
      </w:r>
    </w:p>
    <w:p w14:paraId="2D1483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pP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绩效评价报告</w:t>
      </w:r>
    </w:p>
    <w:p w14:paraId="78913915">
      <w:pPr>
        <w:keepNext w:val="0"/>
        <w:keepLines w:val="0"/>
        <w:pageBreakBefore w:val="0"/>
        <w:widowControl w:val="0"/>
        <w:kinsoku/>
        <w:wordWrap/>
        <w:overflowPunct/>
        <w:topLinePunct w:val="0"/>
        <w:autoSpaceDE/>
        <w:autoSpaceDN/>
        <w:bidi w:val="0"/>
        <w:adjustRightInd/>
        <w:snapToGrid/>
        <w:spacing w:before="316" w:beforeLines="50" w:line="560" w:lineRule="exact"/>
        <w:ind w:firstLine="632" w:firstLineChars="200"/>
        <w:jc w:val="left"/>
        <w:textAlignment w:val="auto"/>
        <w:rPr>
          <w:rFonts w:hint="eastAsia" w:ascii="黑体" w:hAnsi="黑体" w:eastAsia="黑体"/>
          <w:color w:val="000000" w:themeColor="text1"/>
          <w:szCs w:val="32"/>
          <w:highlight w:val="none"/>
          <w:shd w:val="clear" w:color="auto" w:fill="FFFFFF"/>
          <w:lang w:eastAsia="zh-CN"/>
          <w14:textFill>
            <w14:solidFill>
              <w14:schemeClr w14:val="tx1"/>
            </w14:solidFill>
          </w14:textFill>
        </w:rPr>
      </w:pPr>
      <w:r>
        <w:rPr>
          <w:rFonts w:hint="eastAsia" w:ascii="黑体" w:hAnsi="黑体" w:eastAsia="黑体"/>
          <w:color w:val="000000" w:themeColor="text1"/>
          <w:szCs w:val="32"/>
          <w:highlight w:val="none"/>
          <w:shd w:val="clear" w:color="auto" w:fill="FFFFFF"/>
          <w14:textFill>
            <w14:solidFill>
              <w14:schemeClr w14:val="tx1"/>
            </w14:solidFill>
          </w14:textFill>
        </w:rPr>
        <w:t>一、项目</w:t>
      </w:r>
      <w:r>
        <w:rPr>
          <w:rFonts w:hint="eastAsia" w:ascii="黑体" w:hAnsi="黑体" w:eastAsia="黑体"/>
          <w:color w:val="000000" w:themeColor="text1"/>
          <w:szCs w:val="32"/>
          <w:highlight w:val="none"/>
          <w:shd w:val="clear" w:color="auto" w:fill="FFFFFF"/>
          <w:lang w:eastAsia="zh-CN"/>
          <w14:textFill>
            <w14:solidFill>
              <w14:schemeClr w14:val="tx1"/>
            </w14:solidFill>
          </w14:textFill>
        </w:rPr>
        <w:t>概况</w:t>
      </w:r>
    </w:p>
    <w:p w14:paraId="1A4E949B">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黑体" w:hAnsi="黑体" w:eastAsia="黑体"/>
          <w:color w:val="000000" w:themeColor="text1"/>
          <w:szCs w:val="32"/>
          <w:highlight w:val="none"/>
          <w:shd w:val="clear" w:color="auto" w:fill="FFFFFF"/>
          <w:lang w:eastAsia="zh-CN"/>
          <w14:textFill>
            <w14:solidFill>
              <w14:schemeClr w14:val="tx1"/>
            </w14:solidFill>
          </w14:textFill>
        </w:rPr>
      </w:pPr>
      <w:r>
        <w:rPr>
          <w:rFonts w:hint="eastAsia" w:ascii="黑体" w:hAnsi="黑体" w:eastAsia="黑体"/>
          <w:color w:val="000000" w:themeColor="text1"/>
          <w:szCs w:val="32"/>
          <w:highlight w:val="none"/>
          <w:shd w:val="clear" w:color="auto" w:fill="FFFFFF"/>
          <w14:textFill>
            <w14:solidFill>
              <w14:schemeClr w14:val="tx1"/>
            </w14:solidFill>
          </w14:textFill>
        </w:rPr>
        <w:t>（一）项目</w:t>
      </w:r>
      <w:r>
        <w:rPr>
          <w:rFonts w:hint="eastAsia" w:ascii="黑体" w:hAnsi="黑体" w:eastAsia="黑体"/>
          <w:color w:val="000000" w:themeColor="text1"/>
          <w:szCs w:val="32"/>
          <w:highlight w:val="none"/>
          <w:shd w:val="clear" w:color="auto" w:fill="FFFFFF"/>
          <w:lang w:eastAsia="zh-CN"/>
          <w14:textFill>
            <w14:solidFill>
              <w14:schemeClr w14:val="tx1"/>
            </w14:solidFill>
          </w14:textFill>
        </w:rPr>
        <w:t>基本情况</w:t>
      </w:r>
    </w:p>
    <w:p w14:paraId="433DD62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一是《中华人民共和国森林法》《中华人民共和国湿地保护法》《中华人民共和国野生动物保护法》《中华人民共和国种子法》《江苏省实施&lt;中华人民共和国森林法&gt;办法》《江苏省林业有害生物防治条例》《江苏省种子条例》等法律法规都明确要求，各级人民政府应当保障森林生态保护修复的投入，促进林业发展。二是林业是生态文明建设的主战场之一，在推动国家经济社会高质量发展中起到了极其重要的作用。三是南京市作为以山水城林为特色的城市，持续推进绿色南京建设取得丰硕成果，绿色成为重要的城市名片。良好生态环境是最普惠的民生福祉，实施“绿色南京”建设，加强林业资源保护管理是切实满足人民群众对优美生态环境需要的重要途径。四是气候变化问题日益严峻，国土绿化和湿地保护修复是提升生态系统碳汇能力，助力实现“双碳”目标的需要。五是推进绿色南京建设是完成年度省市林业重点工作任务的需要。六是设立“绿色南京”专项补助资金，主要发挥财政资金在完善城市生态体系、提升人居环境水平、严格保护资源、促进我市生态林业与民生林业发展等方面的引领撬动作用。为规范专项资金使用，促进林业发展，南京市林业主管部门与财政部门联合印发《绿色南京专项资金管理办法》（宁绿林字〔2016〕183号）；南京市林业主管部门印发《南京市林业项目管理办法》（宁园林〔2017〕147号）。</w:t>
      </w:r>
    </w:p>
    <w:p w14:paraId="359DD8D0">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黑体" w:hAnsi="黑体" w:eastAsia="黑体"/>
          <w:color w:val="000000" w:themeColor="text1"/>
          <w:szCs w:val="32"/>
          <w:highlight w:val="none"/>
          <w:shd w:val="clear" w:color="auto" w:fill="FFFFFF"/>
          <w:lang w:eastAsia="zh-CN"/>
          <w14:textFill>
            <w14:solidFill>
              <w14:schemeClr w14:val="tx1"/>
            </w14:solidFill>
          </w14:textFill>
        </w:rPr>
      </w:pPr>
      <w:r>
        <w:rPr>
          <w:rFonts w:hint="eastAsia" w:ascii="黑体" w:hAnsi="黑体" w:eastAsia="黑体"/>
          <w:color w:val="000000" w:themeColor="text1"/>
          <w:szCs w:val="32"/>
          <w:highlight w:val="none"/>
          <w:shd w:val="clear" w:color="auto" w:fill="FFFFFF"/>
          <w14:textFill>
            <w14:solidFill>
              <w14:schemeClr w14:val="tx1"/>
            </w14:solidFill>
          </w14:textFill>
        </w:rPr>
        <w:t>（二）</w:t>
      </w:r>
      <w:r>
        <w:rPr>
          <w:rFonts w:hint="eastAsia" w:ascii="黑体" w:hAnsi="黑体" w:eastAsia="黑体"/>
          <w:color w:val="000000" w:themeColor="text1"/>
          <w:szCs w:val="32"/>
          <w:highlight w:val="none"/>
          <w:shd w:val="clear" w:color="auto" w:fill="FFFFFF"/>
          <w:lang w:eastAsia="zh-CN"/>
          <w14:textFill>
            <w14:solidFill>
              <w14:schemeClr w14:val="tx1"/>
            </w14:solidFill>
          </w14:textFill>
        </w:rPr>
        <w:t>主管部门职责</w:t>
      </w:r>
    </w:p>
    <w:p w14:paraId="40E51B8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绿色南京专项资金由市级财政部门、市级林业主管部门共同负责管理，各司其职。</w:t>
      </w:r>
    </w:p>
    <w:p w14:paraId="387F177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1.市级财政部门履行以下职责：（1）会同市级林业主管部门制定专项资金管理办法；（2）安排并执行专项资金年度预算；（3）配合市级林业主管部门制定专项资金年度使用项目、补助标准、项目实施计划编制指南；（4）会同市级林业主管部门制定补助项目审核标准，做好项目审核及拟补助项目的确定；（5）配合市级林业主管部门确定年度补助项目方案，下达专项资金；（6）对专项资金使用情况进行监督检查，组织开展绩效管理，实施绩效评价和再评价；（7）法律、法规、规章规定的其他职责。</w:t>
      </w:r>
    </w:p>
    <w:p w14:paraId="52CCCF7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2.市级林业主管部门履行以下职责：（1）配合制定专项资金管理办法；（2）编制专项资金支出计划；（3）制定专项资金绩效目标和补助资金管理制度；（4）会同市级财政部门制定专项资金年度使用项目、补助标准、项目实施计划编制指南；（5）制定补助项目审核标准，组织项目评审；（6）会同市级财政部门确定年度补助项目方案并下达资金；（7）监督专项资金的项目执行和使用管理，按照绩效目标具体组织实施项目绩效评价；（8）法律、法规、规章规定的其他职责。</w:t>
      </w:r>
    </w:p>
    <w:p w14:paraId="36943F7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3.区财政、林业主管部门：按上级业务主管部门要求,对本地区专项资金申报、使用、评价各环节建立具体制度，强化管理。</w:t>
      </w:r>
    </w:p>
    <w:p w14:paraId="3DA18557">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黑体" w:hAnsi="黑体" w:eastAsia="黑体"/>
          <w:color w:val="000000" w:themeColor="text1"/>
          <w:szCs w:val="32"/>
          <w:highlight w:val="none"/>
          <w:shd w:val="clear" w:color="auto" w:fill="FFFFFF"/>
          <w14:textFill>
            <w14:solidFill>
              <w14:schemeClr w14:val="tx1"/>
            </w14:solidFill>
          </w14:textFill>
        </w:rPr>
      </w:pPr>
      <w:r>
        <w:rPr>
          <w:rFonts w:hint="eastAsia" w:ascii="黑体" w:hAnsi="黑体" w:eastAsia="黑体"/>
          <w:color w:val="000000" w:themeColor="text1"/>
          <w:szCs w:val="32"/>
          <w:highlight w:val="none"/>
          <w:shd w:val="clear" w:color="auto" w:fill="FFFFFF"/>
          <w14:textFill>
            <w14:solidFill>
              <w14:schemeClr w14:val="tx1"/>
            </w14:solidFill>
          </w14:textFill>
        </w:rPr>
        <w:t>（三）</w:t>
      </w:r>
      <w:r>
        <w:rPr>
          <w:rFonts w:hint="eastAsia" w:ascii="黑体" w:hAnsi="黑体" w:eastAsia="黑体"/>
          <w:color w:val="000000" w:themeColor="text1"/>
          <w:szCs w:val="32"/>
          <w:highlight w:val="none"/>
          <w:shd w:val="clear" w:color="auto" w:fill="FFFFFF"/>
          <w:lang w:eastAsia="zh-CN"/>
          <w14:textFill>
            <w14:solidFill>
              <w14:schemeClr w14:val="tx1"/>
            </w14:solidFill>
          </w14:textFill>
        </w:rPr>
        <w:t>项目</w:t>
      </w:r>
      <w:r>
        <w:rPr>
          <w:rFonts w:hint="eastAsia" w:ascii="黑体" w:hAnsi="黑体" w:eastAsia="黑体"/>
          <w:color w:val="000000" w:themeColor="text1"/>
          <w:szCs w:val="32"/>
          <w:highlight w:val="none"/>
          <w:shd w:val="clear" w:color="auto" w:fill="FFFFFF"/>
          <w14:textFill>
            <w14:solidFill>
              <w14:schemeClr w14:val="tx1"/>
            </w14:solidFill>
          </w14:textFill>
        </w:rPr>
        <w:t>资金情况</w:t>
      </w:r>
    </w:p>
    <w:p w14:paraId="3ACF3D6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预算安排及执行情况</w:t>
      </w:r>
    </w:p>
    <w:p w14:paraId="64AD5B3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经批准，20</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24</w:t>
      </w:r>
      <w:r>
        <w:rPr>
          <w:rFonts w:hint="eastAsia"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年度绿色南京专项资金年初预算为1</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.44亿</w:t>
      </w:r>
      <w:r>
        <w:rPr>
          <w:rFonts w:hint="eastAsia"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元，年中调整至</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1.008亿元。</w:t>
      </w:r>
      <w:r>
        <w:rPr>
          <w:rFonts w:hint="eastAsia"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实际拨</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付9904.4568万元</w:t>
      </w:r>
      <w:r>
        <w:rPr>
          <w:rFonts w:hint="eastAsia"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，预算执行率</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98.26</w:t>
      </w:r>
      <w:r>
        <w:rPr>
          <w:rFonts w:hint="eastAsia"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w:t>
      </w:r>
    </w:p>
    <w:p w14:paraId="4D8D28B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资金拨付情况</w:t>
      </w:r>
    </w:p>
    <w:p w14:paraId="4E7F605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20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24</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年绿色南京项目资金拨付</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情况9904.4568万元，详</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见下表。</w:t>
      </w:r>
    </w:p>
    <w:tbl>
      <w:tblPr>
        <w:tblStyle w:val="17"/>
        <w:tblW w:w="880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72"/>
        <w:gridCol w:w="2070"/>
        <w:gridCol w:w="2027"/>
        <w:gridCol w:w="2233"/>
      </w:tblGrid>
      <w:tr w14:paraId="718E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02" w:type="dxa"/>
            <w:gridSpan w:val="4"/>
            <w:tcBorders>
              <w:top w:val="nil"/>
              <w:left w:val="nil"/>
              <w:bottom w:val="nil"/>
              <w:right w:val="nil"/>
            </w:tcBorders>
            <w:shd w:val="clear" w:color="auto" w:fill="auto"/>
            <w:vAlign w:val="center"/>
          </w:tcPr>
          <w:p w14:paraId="3219F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_GBK" w:cs="Times New Roman"/>
                <w:b/>
                <w:bCs/>
                <w:i w:val="0"/>
                <w:iCs w:val="0"/>
                <w:color w:val="000000"/>
                <w:kern w:val="0"/>
                <w:sz w:val="32"/>
                <w:szCs w:val="32"/>
                <w:u w:val="none"/>
                <w:lang w:val="en-US" w:eastAsia="zh-CN" w:bidi="ar"/>
              </w:rPr>
              <w:t>2024年绿色南京专项资金拨付情况</w:t>
            </w:r>
          </w:p>
        </w:tc>
      </w:tr>
      <w:tr w14:paraId="2B01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2" w:type="dxa"/>
            <w:tcBorders>
              <w:top w:val="nil"/>
              <w:left w:val="nil"/>
              <w:bottom w:val="nil"/>
              <w:right w:val="nil"/>
            </w:tcBorders>
            <w:shd w:val="clear" w:color="auto" w:fill="auto"/>
            <w:vAlign w:val="center"/>
          </w:tcPr>
          <w:p w14:paraId="1F462D0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070" w:type="dxa"/>
            <w:tcBorders>
              <w:top w:val="nil"/>
              <w:left w:val="nil"/>
              <w:bottom w:val="nil"/>
              <w:right w:val="nil"/>
            </w:tcBorders>
            <w:shd w:val="clear" w:color="auto" w:fill="auto"/>
            <w:noWrap/>
            <w:vAlign w:val="center"/>
          </w:tcPr>
          <w:p w14:paraId="7483A17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auto"/>
            <w:noWrap/>
            <w:vAlign w:val="center"/>
          </w:tcPr>
          <w:p w14:paraId="0EE7307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4FF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0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6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A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第一批拨款</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2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第二批拨款</w:t>
            </w:r>
          </w:p>
        </w:tc>
      </w:tr>
      <w:tr w14:paraId="14C6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DC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2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9904.4568</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FD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3387.4168</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12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6517.04</w:t>
            </w:r>
          </w:p>
        </w:tc>
      </w:tr>
      <w:tr w14:paraId="45C5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D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江北新区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3A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09E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FF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w:t>
            </w:r>
          </w:p>
        </w:tc>
      </w:tr>
      <w:tr w14:paraId="58A1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77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江宁区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0E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1909.51</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C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E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1894.91</w:t>
            </w:r>
          </w:p>
        </w:tc>
      </w:tr>
      <w:tr w14:paraId="6066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9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浦口区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BB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1103.34</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F6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579.72</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9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523.62</w:t>
            </w:r>
          </w:p>
        </w:tc>
      </w:tr>
      <w:tr w14:paraId="42AE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77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溧水区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59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879.45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8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-73.23</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B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952.68</w:t>
            </w:r>
          </w:p>
        </w:tc>
      </w:tr>
      <w:tr w14:paraId="75D9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3C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六合区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88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944.46</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7E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100.22</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0A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844.24</w:t>
            </w:r>
          </w:p>
        </w:tc>
      </w:tr>
      <w:tr w14:paraId="09B5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D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高淳区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05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526.805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0F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33.935</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8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492.87</w:t>
            </w:r>
          </w:p>
        </w:tc>
      </w:tr>
      <w:tr w14:paraId="5B67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5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雨花台区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78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482.15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5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147.57</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6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334.58</w:t>
            </w:r>
          </w:p>
        </w:tc>
      </w:tr>
      <w:tr w14:paraId="694E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8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栖霞区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9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448.23</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8F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139.86</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F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308.37</w:t>
            </w:r>
          </w:p>
        </w:tc>
      </w:tr>
      <w:tr w14:paraId="101F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0F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F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83.78</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93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78.95</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B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r>
      <w:tr w14:paraId="65A6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4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秦淮区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7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48.86</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FD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32.41</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E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w:t>
            </w:r>
          </w:p>
        </w:tc>
      </w:tr>
      <w:tr w14:paraId="23FC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6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建邺区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9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A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6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w:t>
            </w:r>
          </w:p>
        </w:tc>
      </w:tr>
      <w:tr w14:paraId="76FE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D1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玄武区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89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0D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A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r>
      <w:tr w14:paraId="4E46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C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市绿化园林局</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2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1007.493</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02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939.103</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C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68.39</w:t>
            </w:r>
          </w:p>
        </w:tc>
      </w:tr>
      <w:tr w14:paraId="64FA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D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市林业站</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9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772.97</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C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735.3</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DF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37.67</w:t>
            </w:r>
          </w:p>
        </w:tc>
      </w:tr>
      <w:tr w14:paraId="0FCA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F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江豚站</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2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735.56</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6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503.56</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5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r>
      <w:tr w14:paraId="20A5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E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市园科院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3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AD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440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5155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3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中山陵园管理局</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AA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413.6188</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29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125.4188</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14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288.2</w:t>
            </w:r>
          </w:p>
        </w:tc>
      </w:tr>
      <w:tr w14:paraId="16C4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A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幕燕风景名胜区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7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E60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A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r>
      <w:tr w14:paraId="0BC6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7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青龙山林场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F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C3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5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r>
      <w:tr w14:paraId="768F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5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玄武湖</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5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AD1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A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588A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5C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红山动物园</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7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733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9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r>
      <w:tr w14:paraId="36A4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4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江苏丘陵地区南京农业科学研究所</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B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D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2D2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bl>
    <w:p w14:paraId="4ED6E31C">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市绿化园林局本级资金使用情况</w:t>
      </w:r>
    </w:p>
    <w:p w14:paraId="7363909F">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市绿化园林</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局本级1007.493万</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元，主要用于</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市级以上林业项目验收、推行林长制、义务植树等方面</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，均落实政府采购、专款专用等相关规定，管理严格，支出合规。</w:t>
      </w:r>
    </w:p>
    <w:p w14:paraId="42765A41">
      <w:pPr>
        <w:keepNext w:val="0"/>
        <w:keepLines w:val="0"/>
        <w:pageBreakBefore w:val="0"/>
        <w:kinsoku/>
        <w:wordWrap/>
        <w:overflowPunct/>
        <w:topLinePunct w:val="0"/>
        <w:autoSpaceDE/>
        <w:autoSpaceDN/>
        <w:bidi w:val="0"/>
        <w:adjustRightInd/>
        <w:spacing w:line="560" w:lineRule="exact"/>
        <w:ind w:firstLine="632" w:firstLineChars="200"/>
        <w:jc w:val="left"/>
        <w:textAlignment w:val="auto"/>
        <w:rPr>
          <w:rFonts w:hint="eastAsia" w:ascii="黑体" w:hAnsi="黑体" w:eastAsia="黑体" w:cs="黑体"/>
          <w:color w:val="000000" w:themeColor="text1"/>
          <w:szCs w:val="32"/>
          <w:highlight w:val="none"/>
          <w:lang w:eastAsia="zh-CN"/>
          <w14:textFill>
            <w14:solidFill>
              <w14:schemeClr w14:val="tx1"/>
            </w14:solidFill>
          </w14:textFill>
        </w:rPr>
      </w:pPr>
      <w:bookmarkStart w:id="0" w:name="_Toc2327527"/>
      <w:r>
        <w:rPr>
          <w:rFonts w:hint="eastAsia" w:ascii="黑体" w:hAnsi="黑体" w:eastAsia="黑体" w:cs="黑体"/>
          <w:color w:val="000000" w:themeColor="text1"/>
          <w:szCs w:val="32"/>
          <w:highlight w:val="none"/>
          <w14:textFill>
            <w14:solidFill>
              <w14:schemeClr w14:val="tx1"/>
            </w14:solidFill>
          </w14:textFill>
        </w:rPr>
        <w:t>（</w:t>
      </w:r>
      <w:r>
        <w:rPr>
          <w:rFonts w:hint="eastAsia" w:ascii="黑体" w:hAnsi="黑体" w:eastAsia="黑体" w:cs="黑体"/>
          <w:color w:val="000000" w:themeColor="text1"/>
          <w:szCs w:val="32"/>
          <w:highlight w:val="none"/>
          <w:lang w:eastAsia="zh-CN"/>
          <w14:textFill>
            <w14:solidFill>
              <w14:schemeClr w14:val="tx1"/>
            </w14:solidFill>
          </w14:textFill>
        </w:rPr>
        <w:t>四</w:t>
      </w:r>
      <w:r>
        <w:rPr>
          <w:rFonts w:hint="eastAsia" w:ascii="黑体" w:hAnsi="黑体" w:eastAsia="黑体" w:cs="黑体"/>
          <w:color w:val="000000" w:themeColor="text1"/>
          <w:szCs w:val="32"/>
          <w:highlight w:val="none"/>
          <w14:textFill>
            <w14:solidFill>
              <w14:schemeClr w14:val="tx1"/>
            </w14:solidFill>
          </w14:textFill>
        </w:rPr>
        <w:t>）项目绩效目标</w:t>
      </w:r>
    </w:p>
    <w:p w14:paraId="24A9F28B">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绩效总目标：全市森林抚育、湿地修复、森林防火等工作达到省林业局考核指标。</w:t>
      </w:r>
    </w:p>
    <w:p w14:paraId="0DE23255">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年度目标：全市森林抚育、湿地修复、森林防火等工作达到省林业局考核指标。</w:t>
      </w:r>
    </w:p>
    <w:p w14:paraId="15A7C110">
      <w:pPr>
        <w:keepNext w:val="0"/>
        <w:keepLines w:val="0"/>
        <w:pageBreakBefore w:val="0"/>
        <w:kinsoku/>
        <w:wordWrap/>
        <w:overflowPunct/>
        <w:topLinePunct w:val="0"/>
        <w:autoSpaceDE/>
        <w:autoSpaceDN/>
        <w:bidi w:val="0"/>
        <w:adjustRightInd/>
        <w:spacing w:line="560" w:lineRule="exact"/>
        <w:ind w:firstLine="632" w:firstLineChars="200"/>
        <w:jc w:val="left"/>
        <w:textAlignment w:val="auto"/>
        <w:rPr>
          <w:rFonts w:hint="eastAsia" w:ascii="黑体" w:hAnsi="黑体" w:eastAsia="黑体" w:cs="黑体"/>
          <w:color w:val="000000" w:themeColor="text1"/>
          <w:szCs w:val="32"/>
          <w:highlight w:val="none"/>
          <w:lang w:eastAsia="zh-CN"/>
          <w14:textFill>
            <w14:solidFill>
              <w14:schemeClr w14:val="tx1"/>
            </w14:solidFill>
          </w14:textFill>
        </w:rPr>
      </w:pPr>
      <w:r>
        <w:rPr>
          <w:rFonts w:hint="eastAsia" w:ascii="黑体" w:hAnsi="黑体" w:eastAsia="黑体" w:cs="黑体"/>
          <w:color w:val="000000" w:themeColor="text1"/>
          <w:szCs w:val="32"/>
          <w:highlight w:val="none"/>
          <w:lang w:eastAsia="zh-CN"/>
          <w14:textFill>
            <w14:solidFill>
              <w14:schemeClr w14:val="tx1"/>
            </w14:solidFill>
          </w14:textFill>
        </w:rPr>
        <w:t>二、</w:t>
      </w:r>
      <w:r>
        <w:rPr>
          <w:rFonts w:hint="eastAsia" w:ascii="黑体" w:hAnsi="黑体" w:eastAsia="黑体" w:cs="黑体"/>
          <w:color w:val="000000" w:themeColor="text1"/>
          <w:szCs w:val="32"/>
          <w:highlight w:val="none"/>
          <w14:textFill>
            <w14:solidFill>
              <w14:schemeClr w14:val="tx1"/>
            </w14:solidFill>
          </w14:textFill>
        </w:rPr>
        <w:t>评价</w:t>
      </w:r>
      <w:bookmarkEnd w:id="0"/>
      <w:r>
        <w:rPr>
          <w:rFonts w:hint="eastAsia" w:ascii="黑体" w:hAnsi="黑体" w:eastAsia="黑体" w:cs="黑体"/>
          <w:color w:val="000000" w:themeColor="text1"/>
          <w:szCs w:val="32"/>
          <w:highlight w:val="none"/>
          <w:lang w:eastAsia="zh-CN"/>
          <w14:textFill>
            <w14:solidFill>
              <w14:schemeClr w14:val="tx1"/>
            </w14:solidFill>
          </w14:textFill>
        </w:rPr>
        <w:t>结论</w:t>
      </w:r>
    </w:p>
    <w:p w14:paraId="1A51A37A">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（一）评价对象及范围。本次评价范围是2024年度绿色南京专项资金预算编制、过程管理、使用绩效等情况。</w:t>
      </w:r>
    </w:p>
    <w:p w14:paraId="19AD162C">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二）评价结论及结果。本次绩效评价指标分为4大类、21个指标。根据各项指标实现情况，评价组得出的绩效评价结论如下：绿色南京专项资金总体拨付及时，项目实施过程中，能够全面深入推行林长制，加强林业资源保护管理。综合评价得分99分，等级为“优”。</w:t>
      </w:r>
    </w:p>
    <w:p w14:paraId="30E9DEF6">
      <w:pPr>
        <w:keepNext w:val="0"/>
        <w:keepLines w:val="0"/>
        <w:pageBreakBefore w:val="0"/>
        <w:kinsoku/>
        <w:wordWrap/>
        <w:overflowPunct/>
        <w:topLinePunct w:val="0"/>
        <w:autoSpaceDE/>
        <w:autoSpaceDN/>
        <w:bidi w:val="0"/>
        <w:adjustRightInd/>
        <w:spacing w:line="560" w:lineRule="exact"/>
        <w:ind w:firstLine="632" w:firstLineChars="200"/>
        <w:textAlignment w:val="auto"/>
        <w:rPr>
          <w:rFonts w:hint="eastAsia" w:ascii="黑体" w:hAnsi="黑体" w:eastAsia="黑体"/>
          <w:color w:val="000000" w:themeColor="text1"/>
          <w:szCs w:val="32"/>
          <w:highlight w:val="none"/>
          <w:shd w:val="clear" w:color="auto" w:fill="FFFFFF"/>
          <w:lang w:eastAsia="zh-CN"/>
          <w14:textFill>
            <w14:solidFill>
              <w14:schemeClr w14:val="tx1"/>
            </w14:solidFill>
          </w14:textFill>
        </w:rPr>
      </w:pPr>
      <w:bookmarkStart w:id="1" w:name="_Toc2327530"/>
      <w:r>
        <w:rPr>
          <w:rFonts w:hint="eastAsia" w:ascii="黑体" w:hAnsi="黑体" w:eastAsia="黑体"/>
          <w:color w:val="000000" w:themeColor="text1"/>
          <w:szCs w:val="32"/>
          <w:highlight w:val="none"/>
          <w:shd w:val="clear" w:color="auto" w:fill="FFFFFF"/>
          <w:lang w:eastAsia="zh-CN"/>
          <w14:textFill>
            <w14:solidFill>
              <w14:schemeClr w14:val="tx1"/>
            </w14:solidFill>
          </w14:textFill>
        </w:rPr>
        <w:t>三、项目成效</w:t>
      </w:r>
    </w:p>
    <w:p w14:paraId="569AE091">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推进各项配套制度有效落实。市总林长签发</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年第</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号总林长令《关于加强春季森林防火工作的令》。召开全市林长制工作推进会议，印发年度林长制工作要点。指导和督促落实会议、巡林等制度。</w:t>
      </w:r>
    </w:p>
    <w:p w14:paraId="1EEE4BD6">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深化集体林权制度改革。探索集体林权制度改革实施方向，因地制宜开展先行先试，落实落细改革任务。及时梳理深化集体林权制度改革情况进展，积累总结推广经验。</w:t>
      </w:r>
    </w:p>
    <w:p w14:paraId="05567FF5">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科学推进国土绿化。坚决遏制耕地“非农化”和防止耕地“非粮化”，完成各类造林</w:t>
      </w:r>
      <w:r>
        <w:rPr>
          <w:rFonts w:ascii="Times New Roman" w:hAnsi="Times New Roman" w:eastAsia="方正仿宋_GBK" w:cs="Times New Roman"/>
          <w:b w:val="0"/>
          <w:bCs w:val="0"/>
          <w:sz w:val="32"/>
          <w:szCs w:val="32"/>
        </w:rPr>
        <w:t>1.7</w:t>
      </w:r>
      <w:r>
        <w:rPr>
          <w:rFonts w:hint="eastAsia" w:ascii="Times New Roman" w:hAnsi="Times New Roman" w:eastAsia="方正仿宋_GBK" w:cs="Times New Roman"/>
          <w:b w:val="0"/>
          <w:bCs w:val="0"/>
          <w:sz w:val="32"/>
          <w:szCs w:val="32"/>
        </w:rPr>
        <w:t>万亩，其中新增造林</w:t>
      </w:r>
      <w:r>
        <w:rPr>
          <w:rFonts w:ascii="Times New Roman" w:hAnsi="Times New Roman" w:eastAsia="方正仿宋_GBK" w:cs="Times New Roman"/>
          <w:b w:val="0"/>
          <w:bCs w:val="0"/>
          <w:sz w:val="32"/>
          <w:szCs w:val="32"/>
        </w:rPr>
        <w:t>325</w:t>
      </w:r>
      <w:r>
        <w:rPr>
          <w:rFonts w:hint="eastAsia" w:ascii="Times New Roman" w:hAnsi="Times New Roman" w:eastAsia="方正仿宋_GBK" w:cs="Times New Roman"/>
          <w:b w:val="0"/>
          <w:bCs w:val="0"/>
          <w:sz w:val="32"/>
          <w:szCs w:val="32"/>
        </w:rPr>
        <w:t>亩；实施森林抚育</w:t>
      </w:r>
      <w:r>
        <w:rPr>
          <w:rFonts w:ascii="Times New Roman" w:hAnsi="Times New Roman" w:eastAsia="方正仿宋_GBK" w:cs="Times New Roman"/>
          <w:b w:val="0"/>
          <w:bCs w:val="0"/>
          <w:sz w:val="32"/>
          <w:szCs w:val="32"/>
        </w:rPr>
        <w:t>5.8</w:t>
      </w:r>
      <w:r>
        <w:rPr>
          <w:rFonts w:hint="eastAsia" w:ascii="Times New Roman" w:hAnsi="Times New Roman" w:eastAsia="方正仿宋_GBK" w:cs="Times New Roman"/>
          <w:b w:val="0"/>
          <w:bCs w:val="0"/>
          <w:sz w:val="32"/>
          <w:szCs w:val="32"/>
        </w:rPr>
        <w:t>万亩。超额完成省级民生实事</w:t>
      </w:r>
      <w:r>
        <w:rPr>
          <w:rFonts w:ascii="Times New Roman" w:hAnsi="Times New Roman" w:eastAsia="方正仿宋_GBK" w:cs="Times New Roman"/>
          <w:b w:val="0"/>
          <w:bCs w:val="0"/>
          <w:sz w:val="32"/>
          <w:szCs w:val="32"/>
        </w:rPr>
        <w:t>26</w:t>
      </w:r>
      <w:r>
        <w:rPr>
          <w:rFonts w:hint="eastAsia" w:ascii="Times New Roman" w:hAnsi="Times New Roman" w:eastAsia="方正仿宋_GBK" w:cs="Times New Roman"/>
          <w:b w:val="0"/>
          <w:bCs w:val="0"/>
          <w:sz w:val="32"/>
          <w:szCs w:val="32"/>
        </w:rPr>
        <w:t>个绿美村庄、</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条省级森林步道建设任务。</w:t>
      </w:r>
    </w:p>
    <w:p w14:paraId="226171D0">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积极开展义务植树与社会绿化。配合完成省市四套班子领导义务植树活动，完成省级“互联网</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全民义务植树”南湖公园基地建设。开展义务植树尽责活动</w:t>
      </w:r>
      <w:r>
        <w:rPr>
          <w:rFonts w:ascii="Times New Roman" w:hAnsi="Times New Roman" w:eastAsia="方正仿宋_GBK" w:cs="Times New Roman"/>
          <w:b w:val="0"/>
          <w:bCs w:val="0"/>
          <w:sz w:val="32"/>
          <w:szCs w:val="32"/>
        </w:rPr>
        <w:t>500</w:t>
      </w:r>
      <w:r>
        <w:rPr>
          <w:rFonts w:hint="eastAsia" w:ascii="Times New Roman" w:hAnsi="Times New Roman" w:eastAsia="方正仿宋_GBK" w:cs="Times New Roman"/>
          <w:b w:val="0"/>
          <w:bCs w:val="0"/>
          <w:sz w:val="32"/>
          <w:szCs w:val="32"/>
        </w:rPr>
        <w:t>余次。加强古树名木保护，开展古树名木健康检测和复壮等工作，普查结果显示，全市现有古树名木</w:t>
      </w:r>
      <w:r>
        <w:rPr>
          <w:rFonts w:ascii="Times New Roman" w:hAnsi="Times New Roman" w:eastAsia="方正仿宋_GBK" w:cs="Times New Roman"/>
          <w:b w:val="0"/>
          <w:bCs w:val="0"/>
          <w:sz w:val="32"/>
          <w:szCs w:val="32"/>
        </w:rPr>
        <w:t>2215</w:t>
      </w:r>
      <w:r>
        <w:rPr>
          <w:rFonts w:hint="eastAsia" w:ascii="Times New Roman" w:hAnsi="Times New Roman" w:eastAsia="方正仿宋_GBK" w:cs="Times New Roman"/>
          <w:b w:val="0"/>
          <w:bCs w:val="0"/>
          <w:sz w:val="32"/>
          <w:szCs w:val="32"/>
        </w:rPr>
        <w:t>株，新增古树名木</w:t>
      </w:r>
      <w:r>
        <w:rPr>
          <w:rFonts w:ascii="Times New Roman" w:hAnsi="Times New Roman" w:eastAsia="方正仿宋_GBK" w:cs="Times New Roman"/>
          <w:b w:val="0"/>
          <w:bCs w:val="0"/>
          <w:sz w:val="32"/>
          <w:szCs w:val="32"/>
        </w:rPr>
        <w:t>133</w:t>
      </w:r>
      <w:r>
        <w:rPr>
          <w:rFonts w:hint="eastAsia" w:ascii="Times New Roman" w:hAnsi="Times New Roman" w:eastAsia="方正仿宋_GBK" w:cs="Times New Roman"/>
          <w:b w:val="0"/>
          <w:bCs w:val="0"/>
          <w:sz w:val="32"/>
          <w:szCs w:val="32"/>
        </w:rPr>
        <w:t>株。</w:t>
      </w:r>
    </w:p>
    <w:p w14:paraId="37083566">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5</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推进林地保有量指标落实与省级以上公益林优化落界。成立工作专班，审核“一张图”数据库初步成果。扎实开展省级以上公益林优化落界，经市政府同意，优化落界成果上报省局。推进森林草地湿地普查，完成地类对接，推进图斑区划调查等。</w:t>
      </w:r>
    </w:p>
    <w:p w14:paraId="71F81781">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6</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加强自然保护地管理。</w:t>
      </w:r>
      <w:r>
        <w:rPr>
          <w:rFonts w:hint="eastAsia" w:eastAsia="方正仿宋_GBK" w:cs="Times New Roman"/>
          <w:b w:val="0"/>
          <w:bCs w:val="0"/>
          <w:sz w:val="32"/>
          <w:szCs w:val="32"/>
          <w:lang w:eastAsia="zh-CN"/>
        </w:rPr>
        <w:t>持续推进自然保护地整合优化工作，逐步健全我市自然保护地体系。</w:t>
      </w:r>
      <w:r>
        <w:rPr>
          <w:rFonts w:hint="eastAsia" w:ascii="Times New Roman" w:hAnsi="Times New Roman" w:eastAsia="方正仿宋_GBK" w:cs="Times New Roman"/>
          <w:b w:val="0"/>
          <w:bCs w:val="0"/>
          <w:sz w:val="32"/>
          <w:szCs w:val="32"/>
        </w:rPr>
        <w:t>夫子庙</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秦淮风光带风景名胜区、无想山国家森林公园总体规划</w:t>
      </w:r>
      <w:r>
        <w:rPr>
          <w:rFonts w:hint="eastAsia" w:eastAsia="方正仿宋_GBK" w:cs="Times New Roman"/>
          <w:b w:val="0"/>
          <w:bCs w:val="0"/>
          <w:sz w:val="32"/>
          <w:szCs w:val="32"/>
          <w:lang w:eastAsia="zh-CN"/>
        </w:rPr>
        <w:t>获得批复，</w:t>
      </w:r>
      <w:r>
        <w:rPr>
          <w:rFonts w:hint="eastAsia" w:ascii="Times New Roman" w:hAnsi="Times New Roman" w:eastAsia="方正仿宋_GBK" w:cs="Times New Roman"/>
          <w:b w:val="0"/>
          <w:bCs w:val="0"/>
          <w:sz w:val="32"/>
          <w:szCs w:val="32"/>
        </w:rPr>
        <w:t>指导指导推进雨花台风景名胜区总体规划、南京栖霞山国家森林公园总体规划修编。开展自然保护地遥感监测</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完成国家、省自然保护地疑似问题图斑核实上报</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支持南京中山植物园创建国家植物园。</w:t>
      </w:r>
    </w:p>
    <w:p w14:paraId="02208C45">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7</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加强野生动植物等生物多样性保护。开展陆生野生动物资源调查、陆生野生动物监测和陆生野生动物疫源疫病监测防控。做好中华虎凤蝶、秤锤树等珍稀野生动植物栖息地保护。联合开展“清风行动</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”“网盾行动”，打击破坏野生动物资源违法行为。开展国家重点保护陆生野生动物人工繁育专项整治行动。</w:t>
      </w:r>
    </w:p>
    <w:p w14:paraId="6F69052B">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8</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积极开展野猪危害防控。印发野猪危害防控工作方案，开展野猪危害防控专项行动，指导各区各单位加快推进野猪种群调控。鼓励支持各区、市级单位投保野生动物肇事损害保险，维护群众合法权益。</w:t>
      </w:r>
    </w:p>
    <w:p w14:paraId="654E0DB6">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9</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加强林业有害生物防控。完成年度春季松材线虫病疫木清理任务和秋季疫情普查及日常巡查任务。精准开展美国白蛾、杨舟蛾等食叶害虫监测防治。积极开展林业有害生物联防联控。认真开展“护松</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”涉松材线虫病疫木检疫执法专项行动。</w:t>
      </w:r>
    </w:p>
    <w:p w14:paraId="12436D5B">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lang w:val="en-US" w:eastAsia="zh-CN"/>
        </w:rPr>
        <w:t>0</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加强长江江豚保护区管理。完成南京长江江豚省级自然保护区总体规划修编，获得省级批复。开展巡护巡航9</w:t>
      </w:r>
      <w:r>
        <w:rPr>
          <w:rFonts w:hint="eastAsia" w:ascii="Times New Roman" w:hAnsi="Times New Roman" w:eastAsia="方正仿宋_GBK" w:cs="Times New Roman"/>
          <w:b w:val="0"/>
          <w:bCs w:val="0"/>
          <w:sz w:val="32"/>
          <w:szCs w:val="32"/>
          <w:lang w:val="en-US" w:eastAsia="zh-CN"/>
        </w:rPr>
        <w:t>8</w:t>
      </w:r>
      <w:r>
        <w:rPr>
          <w:rFonts w:hint="eastAsia" w:ascii="Times New Roman" w:hAnsi="Times New Roman" w:eastAsia="方正仿宋_GBK" w:cs="Times New Roman"/>
          <w:b w:val="0"/>
          <w:bCs w:val="0"/>
          <w:sz w:val="32"/>
          <w:szCs w:val="32"/>
        </w:rPr>
        <w:t>次。完善首个长江干流江豚原地应急救护体系。</w:t>
      </w:r>
      <w:r>
        <w:rPr>
          <w:rFonts w:hint="eastAsia" w:ascii="Times New Roman" w:hAnsi="Times New Roman" w:eastAsia="方正仿宋_GBK" w:cs="Times New Roman"/>
          <w:b w:val="0"/>
          <w:bCs w:val="0"/>
          <w:sz w:val="32"/>
          <w:szCs w:val="32"/>
          <w:lang w:val="en-US" w:eastAsia="zh-CN"/>
        </w:rPr>
        <w:t>开展保护区生物多样性年度动态调查，</w:t>
      </w:r>
      <w:r>
        <w:rPr>
          <w:rFonts w:hint="eastAsia" w:ascii="Times New Roman" w:hAnsi="Times New Roman" w:eastAsia="方正仿宋_GBK" w:cs="Times New Roman"/>
          <w:b w:val="0"/>
          <w:bCs w:val="0"/>
          <w:sz w:val="32"/>
          <w:szCs w:val="32"/>
        </w:rPr>
        <w:t>调查结果显示保护区江豚数量增长至约</w:t>
      </w:r>
      <w:r>
        <w:rPr>
          <w:rFonts w:ascii="Times New Roman" w:hAnsi="Times New Roman" w:eastAsia="方正仿宋_GBK" w:cs="Times New Roman"/>
          <w:b w:val="0"/>
          <w:bCs w:val="0"/>
          <w:sz w:val="32"/>
          <w:szCs w:val="32"/>
        </w:rPr>
        <w:t>65</w:t>
      </w:r>
      <w:r>
        <w:rPr>
          <w:rFonts w:hint="eastAsia" w:ascii="Times New Roman" w:hAnsi="Times New Roman" w:eastAsia="方正仿宋_GBK" w:cs="Times New Roman"/>
          <w:b w:val="0"/>
          <w:bCs w:val="0"/>
          <w:sz w:val="32"/>
          <w:szCs w:val="32"/>
        </w:rPr>
        <w:t>头，种群发展潜力良好。</w:t>
      </w:r>
    </w:p>
    <w:p w14:paraId="570F090D">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11</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加强沿江湿地保护修复。开展《南京市湿地保护条例》立法修订调研。修复长江湿地</w:t>
      </w:r>
      <w:r>
        <w:rPr>
          <w:rFonts w:ascii="Times New Roman" w:hAnsi="Times New Roman" w:eastAsia="方正仿宋_GBK" w:cs="Times New Roman"/>
          <w:b w:val="0"/>
          <w:bCs w:val="0"/>
          <w:sz w:val="32"/>
          <w:szCs w:val="32"/>
        </w:rPr>
        <w:t>770</w:t>
      </w:r>
      <w:r>
        <w:rPr>
          <w:rFonts w:hint="eastAsia" w:ascii="Times New Roman" w:hAnsi="Times New Roman" w:eastAsia="方正仿宋_GBK" w:cs="Times New Roman"/>
          <w:b w:val="0"/>
          <w:bCs w:val="0"/>
          <w:sz w:val="32"/>
          <w:szCs w:val="32"/>
        </w:rPr>
        <w:t>亩。新建湿地保护小区</w:t>
      </w: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个。新济洲湿地修复获评“江苏首届</w:t>
      </w:r>
      <w:r>
        <w:rPr>
          <w:rFonts w:ascii="Times New Roman" w:hAnsi="Times New Roman" w:eastAsia="方正仿宋_GBK" w:cs="Times New Roman"/>
          <w:b w:val="0"/>
          <w:bCs w:val="0"/>
          <w:sz w:val="32"/>
          <w:szCs w:val="32"/>
        </w:rPr>
        <w:t>10</w:t>
      </w:r>
      <w:r>
        <w:rPr>
          <w:rFonts w:hint="eastAsia" w:ascii="Times New Roman" w:hAnsi="Times New Roman" w:eastAsia="方正仿宋_GBK" w:cs="Times New Roman"/>
          <w:b w:val="0"/>
          <w:bCs w:val="0"/>
          <w:sz w:val="32"/>
          <w:szCs w:val="32"/>
        </w:rPr>
        <w:t>佳湿地生态修复案例”。南京长江湿地生态系统定位观测研究站建成长江中下游湿地区唯一的永久性河流类型的国家级湿地生态站。</w:t>
      </w:r>
    </w:p>
    <w:p w14:paraId="6B982B27">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lang w:val="en-US" w:eastAsia="zh-CN"/>
        </w:rPr>
        <w:t>2</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持续推进林下经济和产业发展。依托森林、林地及其生态环境，推动森林旅游、森林康养、林下种植、林产品加工等产业发展。</w:t>
      </w:r>
    </w:p>
    <w:p w14:paraId="182C24D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13</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开展林业和城市绿地碳汇研究。完成全市湿地碳汇计量监测，构建湿地年度碳汇监测模型，提出湿地碳汇提升策略。高淳区作为我市唯一的全省林业生态产品价值实现机制试点区，与南京大学和南京林业大学合作开展湿地和森林生态产品价值核算技术研究。完成城市绿地碳汇能力监测，编制增汇减排方案，构建碳汇数据库。</w:t>
      </w:r>
      <w:r>
        <w:rPr>
          <w:rFonts w:hint="eastAsia" w:eastAsia="方正仿宋_GBK" w:cs="Times New Roman"/>
          <w:b w:val="0"/>
          <w:bCs w:val="0"/>
          <w:sz w:val="32"/>
          <w:szCs w:val="32"/>
          <w:lang w:eastAsia="zh-CN"/>
        </w:rPr>
        <w:t>栖霞区探索</w:t>
      </w:r>
      <w:r>
        <w:rPr>
          <w:rFonts w:hint="eastAsia" w:ascii="Times New Roman" w:hAnsi="Times New Roman" w:eastAsia="方正仿宋_GBK" w:cs="Times New Roman"/>
          <w:b w:val="0"/>
          <w:bCs w:val="0"/>
          <w:sz w:val="32"/>
          <w:szCs w:val="32"/>
        </w:rPr>
        <w:t>将生态损害赔偿金转化为林业碳汇能力建设资金，用于区域内退化林修复改造。</w:t>
      </w:r>
    </w:p>
    <w:p w14:paraId="37E17C44">
      <w:pPr>
        <w:keepNext w:val="0"/>
        <w:keepLines w:val="0"/>
        <w:pageBreakBefore w:val="0"/>
        <w:kinsoku/>
        <w:wordWrap/>
        <w:overflowPunct/>
        <w:topLinePunct w:val="0"/>
        <w:autoSpaceDE/>
        <w:autoSpaceDN/>
        <w:bidi w:val="0"/>
        <w:adjustRightInd/>
        <w:spacing w:line="560" w:lineRule="exact"/>
        <w:ind w:firstLine="632" w:firstLineChars="200"/>
        <w:jc w:val="left"/>
        <w:textAlignment w:val="auto"/>
        <w:rPr>
          <w:rFonts w:hint="eastAsia" w:ascii="黑体" w:hAnsi="黑体" w:eastAsia="黑体"/>
          <w:color w:val="000000" w:themeColor="text1"/>
          <w:szCs w:val="32"/>
          <w:highlight w:val="none"/>
          <w:shd w:val="clear" w:color="auto" w:fill="FFFFFF"/>
          <w:lang w:eastAsia="zh-CN"/>
          <w14:textFill>
            <w14:solidFill>
              <w14:schemeClr w14:val="tx1"/>
            </w14:solidFill>
          </w14:textFill>
        </w:rPr>
      </w:pPr>
      <w:r>
        <w:rPr>
          <w:rFonts w:hint="eastAsia" w:ascii="黑体" w:hAnsi="黑体" w:eastAsia="黑体"/>
          <w:color w:val="000000" w:themeColor="text1"/>
          <w:szCs w:val="32"/>
          <w:highlight w:val="none"/>
          <w:shd w:val="clear" w:color="auto" w:fill="FFFFFF"/>
          <w14:textFill>
            <w14:solidFill>
              <w14:schemeClr w14:val="tx1"/>
            </w14:solidFill>
          </w14:textFill>
        </w:rPr>
        <w:t>四、存在的主要问题及</w:t>
      </w:r>
      <w:bookmarkEnd w:id="1"/>
      <w:r>
        <w:rPr>
          <w:rFonts w:hint="eastAsia" w:ascii="黑体" w:hAnsi="黑体" w:eastAsia="黑体"/>
          <w:color w:val="000000" w:themeColor="text1"/>
          <w:szCs w:val="32"/>
          <w:highlight w:val="none"/>
          <w:shd w:val="clear" w:color="auto" w:fill="FFFFFF"/>
          <w:lang w:eastAsia="zh-CN"/>
          <w14:textFill>
            <w14:solidFill>
              <w14:schemeClr w14:val="tx1"/>
            </w14:solidFill>
          </w14:textFill>
        </w:rPr>
        <w:t>原因分析</w:t>
      </w:r>
    </w:p>
    <w:p w14:paraId="464231BB">
      <w:pPr>
        <w:widowControl w:val="0"/>
        <w:overflowPunct/>
        <w:autoSpaceDE/>
        <w:autoSpaceDN/>
        <w:adjustRightInd/>
        <w:spacing w:line="560" w:lineRule="exact"/>
        <w:ind w:firstLine="632" w:firstLineChars="200"/>
        <w:textAlignment w:val="auto"/>
        <w:rPr>
          <w:rFonts w:hint="default" w:ascii="方正仿宋_GBK" w:hAnsi="方正仿宋_GBK" w:eastAsia="方正仿宋_GBK" w:cs="方正仿宋_GBK"/>
          <w:color w:val="000000" w:themeColor="text1"/>
          <w:highlight w:val="yellow"/>
          <w:lang w:val="en-US" w:eastAsia="zh-CN"/>
          <w14:textFill>
            <w14:solidFill>
              <w14:schemeClr w14:val="tx1"/>
            </w14:solidFill>
          </w14:textFill>
        </w:rPr>
      </w:pPr>
      <w:bookmarkStart w:id="2" w:name="_Toc2327536"/>
      <w:r>
        <w:rPr>
          <w:rFonts w:hint="eastAsia" w:ascii="Times New Roman" w:hAnsi="Times New Roman" w:eastAsia="方正仿宋_GBK" w:cs="Times New Roman"/>
          <w:szCs w:val="32"/>
        </w:rPr>
        <w:t>《绿色南京专项资金管理办法》（宁绿林字〔</w:t>
      </w:r>
      <w:r>
        <w:rPr>
          <w:rFonts w:hint="default" w:ascii="Times New Roman" w:hAnsi="Times New Roman" w:eastAsia="方正仿宋_GBK" w:cs="Times New Roman"/>
          <w:szCs w:val="32"/>
        </w:rPr>
        <w:t>2016</w:t>
      </w:r>
      <w:r>
        <w:rPr>
          <w:rFonts w:hint="eastAsia" w:ascii="Times New Roman" w:hAnsi="Times New Roman" w:eastAsia="方正仿宋_GBK" w:cs="Times New Roman"/>
          <w:szCs w:val="32"/>
        </w:rPr>
        <w:t>〕</w:t>
      </w:r>
      <w:r>
        <w:rPr>
          <w:rFonts w:hint="default" w:ascii="Times New Roman" w:hAnsi="Times New Roman" w:eastAsia="方正仿宋_GBK" w:cs="Times New Roman"/>
          <w:szCs w:val="32"/>
        </w:rPr>
        <w:t>183</w:t>
      </w:r>
      <w:r>
        <w:rPr>
          <w:rFonts w:hint="eastAsia" w:ascii="Times New Roman" w:hAnsi="Times New Roman" w:eastAsia="方正仿宋_GBK" w:cs="Times New Roman"/>
          <w:szCs w:val="32"/>
        </w:rPr>
        <w:t>号）</w:t>
      </w:r>
      <w:r>
        <w:rPr>
          <w:rFonts w:hint="eastAsia" w:ascii="Times New Roman" w:hAnsi="Times New Roman" w:eastAsia="方正仿宋_GBK" w:cs="Times New Roman"/>
          <w:szCs w:val="32"/>
          <w:lang w:eastAsia="zh-CN"/>
        </w:rPr>
        <w:t>和</w:t>
      </w:r>
      <w:r>
        <w:rPr>
          <w:rFonts w:hint="eastAsia" w:ascii="Times New Roman" w:hAnsi="Times New Roman" w:eastAsia="方正仿宋_GBK" w:cs="Times New Roman"/>
          <w:szCs w:val="32"/>
          <w:lang w:val="en-US" w:eastAsia="zh-CN"/>
        </w:rPr>
        <w:t>《南京市林业项目管理办法》（宁园林〔</w:t>
      </w:r>
      <w:r>
        <w:rPr>
          <w:rFonts w:hint="default" w:ascii="Times New Roman" w:hAnsi="Times New Roman" w:eastAsia="方正仿宋_GBK" w:cs="Times New Roman"/>
          <w:szCs w:val="32"/>
          <w:lang w:val="en-US" w:eastAsia="zh-CN"/>
        </w:rPr>
        <w:t>2017</w:t>
      </w:r>
      <w:r>
        <w:rPr>
          <w:rFonts w:hint="eastAsia" w:ascii="Times New Roman" w:hAnsi="Times New Roman" w:eastAsia="方正仿宋_GBK" w:cs="Times New Roman"/>
          <w:szCs w:val="32"/>
          <w:lang w:val="en-US" w:eastAsia="zh-CN"/>
        </w:rPr>
        <w:t>〕</w:t>
      </w:r>
      <w:r>
        <w:rPr>
          <w:rFonts w:hint="default" w:ascii="Times New Roman" w:hAnsi="Times New Roman" w:eastAsia="方正仿宋_GBK" w:cs="Times New Roman"/>
          <w:szCs w:val="32"/>
          <w:lang w:val="en-US" w:eastAsia="zh-CN"/>
        </w:rPr>
        <w:t>147</w:t>
      </w:r>
      <w:r>
        <w:rPr>
          <w:rFonts w:hint="eastAsia" w:ascii="Times New Roman" w:hAnsi="Times New Roman" w:eastAsia="方正仿宋_GBK" w:cs="Times New Roman"/>
          <w:szCs w:val="32"/>
          <w:lang w:val="en-US" w:eastAsia="zh-CN"/>
        </w:rPr>
        <w:t>号）两个管理办法出台时间较久，尤其是《</w:t>
      </w:r>
      <w:r>
        <w:rPr>
          <w:rFonts w:hint="default" w:ascii="Times New Roman" w:hAnsi="Times New Roman" w:eastAsia="方正仿宋_GBK" w:cs="Times New Roman"/>
          <w:szCs w:val="32"/>
          <w:lang w:val="en-US" w:eastAsia="zh-CN"/>
        </w:rPr>
        <w:t>南京市市级财政专项资金管理办法</w:t>
      </w:r>
      <w:r>
        <w:rPr>
          <w:rFonts w:hint="eastAsia" w:ascii="Times New Roman" w:hAnsi="Times New Roman" w:eastAsia="方正仿宋_GBK" w:cs="Times New Roman"/>
          <w:szCs w:val="32"/>
          <w:lang w:val="en-US" w:eastAsia="zh-CN"/>
        </w:rPr>
        <w:t>》（宁政发〔2021〕118号）实施后，在绩效管理、储备项目管理等方面提出一些新要求，两个管理办法需要加快修订完善。</w:t>
      </w:r>
    </w:p>
    <w:p w14:paraId="0302FC22">
      <w:pPr>
        <w:keepNext w:val="0"/>
        <w:keepLines w:val="0"/>
        <w:pageBreakBefore w:val="0"/>
        <w:kinsoku/>
        <w:wordWrap/>
        <w:overflowPunct/>
        <w:topLinePunct w:val="0"/>
        <w:autoSpaceDE/>
        <w:autoSpaceDN/>
        <w:bidi w:val="0"/>
        <w:adjustRightInd/>
        <w:spacing w:line="560" w:lineRule="exact"/>
        <w:ind w:firstLine="632" w:firstLineChars="200"/>
        <w:jc w:val="left"/>
        <w:textAlignment w:val="auto"/>
        <w:rPr>
          <w:rFonts w:hint="eastAsia" w:ascii="黑体" w:hAnsi="黑体" w:eastAsia="黑体"/>
          <w:color w:val="000000" w:themeColor="text1"/>
          <w:szCs w:val="32"/>
          <w:highlight w:val="none"/>
          <w:u w:val="none"/>
          <w:shd w:val="clear" w:color="auto" w:fill="FFFFFF"/>
          <w:lang w:eastAsia="zh-CN"/>
          <w14:textFill>
            <w14:solidFill>
              <w14:schemeClr w14:val="tx1"/>
            </w14:solidFill>
          </w14:textFill>
        </w:rPr>
      </w:pPr>
      <w:r>
        <w:rPr>
          <w:rFonts w:hint="eastAsia" w:ascii="黑体" w:hAnsi="黑体" w:eastAsia="黑体"/>
          <w:color w:val="000000" w:themeColor="text1"/>
          <w:szCs w:val="32"/>
          <w:highlight w:val="none"/>
          <w:u w:val="none"/>
          <w:shd w:val="clear" w:color="auto" w:fill="FFFFFF"/>
          <w:lang w:eastAsia="zh-CN"/>
          <w14:textFill>
            <w14:solidFill>
              <w14:schemeClr w14:val="tx1"/>
            </w14:solidFill>
          </w14:textFill>
        </w:rPr>
        <w:t>五、有关建议</w:t>
      </w:r>
    </w:p>
    <w:bookmarkEnd w:id="2"/>
    <w:p w14:paraId="5D64937D">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方正仿宋_GBK" w:hAnsi="方正仿宋_GBK" w:eastAsia="方正仿宋_GBK" w:cs="方正仿宋_GBK"/>
          <w:color w:val="000000" w:themeColor="text1"/>
          <w:highlight w:val="yellow"/>
          <w:u w:val="none"/>
          <w:lang w:eastAsia="zh-CN"/>
          <w14:textFill>
            <w14:solidFill>
              <w14:schemeClr w14:val="tx1"/>
            </w14:solidFill>
          </w14:textFill>
        </w:rPr>
      </w:pPr>
      <w:r>
        <w:rPr>
          <w:rFonts w:hint="eastAsia" w:ascii="Times New Roman" w:hAnsi="Times New Roman" w:eastAsia="方正仿宋_GBK" w:cs="Times New Roman"/>
          <w:b w:val="0"/>
          <w:bCs w:val="0"/>
          <w:sz w:val="32"/>
          <w:szCs w:val="32"/>
        </w:rPr>
        <w:t>修订完善《绿色南京专项资金管理办法》《南京市林业项目管理办法》，进一步提高专项资金使用绩效。</w:t>
      </w:r>
    </w:p>
    <w:p w14:paraId="6D12948C">
      <w:pPr>
        <w:keepNext w:val="0"/>
        <w:keepLines w:val="0"/>
        <w:pageBreakBefore w:val="0"/>
        <w:kinsoku/>
        <w:wordWrap/>
        <w:overflowPunct/>
        <w:topLinePunct w:val="0"/>
        <w:autoSpaceDE/>
        <w:autoSpaceDN/>
        <w:bidi w:val="0"/>
        <w:adjustRightInd/>
        <w:spacing w:line="560" w:lineRule="exact"/>
        <w:ind w:firstLine="632" w:firstLineChars="200"/>
        <w:textAlignment w:val="auto"/>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lang w:eastAsia="zh-CN"/>
          <w14:textFill>
            <w14:solidFill>
              <w14:schemeClr w14:val="tx1"/>
            </w14:solidFill>
          </w14:textFill>
        </w:rPr>
        <w:t>六、评价工作开展情况及其他需说明的情况</w:t>
      </w:r>
    </w:p>
    <w:p w14:paraId="06E89B4F">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照《南京市市级财政预算绩效评价操作规程（试行）》（宁财绩〔2020〕260号）、《关于开展2025年度预算绩效信息公开工作的通知》（宁财绩〔2025〕41号）、《关于印发2025年南京市市级预算部门（单位）预算绩效管理责任清单的通知》（宁财绩〔2025〕106号）及其他绩效管理要求，在搜集准备、核实、验证有关资料的基础上，全面分析绿色南京各项目的第三方验收报告、上级林业主管部门有关检查资料、市级审计部门有关检查监督资料等，对照绩效评价指标体系，主要采取指标法、因素化、比较法、成本效益法、最低成本法和第三方评判法等评价方法，对2024年度绿色南京专项资金绩效进行自评价。</w:t>
      </w:r>
    </w:p>
    <w:p w14:paraId="79355427">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p w14:paraId="5066FA04">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附件：2024年绿色南京专项资金绩效自评价评分表</w:t>
      </w:r>
    </w:p>
    <w:p w14:paraId="49B2097A">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sectPr>
          <w:footerReference r:id="rId5" w:type="default"/>
          <w:pgSz w:w="11906" w:h="16838"/>
          <w:pgMar w:top="1531" w:right="1531" w:bottom="1531" w:left="1531" w:header="851" w:footer="992" w:gutter="0"/>
          <w:pgBorders>
            <w:top w:val="none" w:sz="0" w:space="0"/>
            <w:left w:val="none" w:sz="0" w:space="0"/>
            <w:bottom w:val="none" w:sz="0" w:space="0"/>
            <w:right w:val="none" w:sz="0" w:space="0"/>
          </w:pgBorders>
          <w:cols w:space="720" w:num="1"/>
          <w:docGrid w:type="linesAndChars" w:linePitch="626" w:charSpace="-849"/>
        </w:sectPr>
      </w:pPr>
    </w:p>
    <w:p w14:paraId="3F67A364">
      <w:pPr>
        <w:spacing w:line="320" w:lineRule="exact"/>
        <w:rPr>
          <w:rFonts w:hint="eastAsia" w:hAnsi="宋体" w:cs="Calibri"/>
          <w:bCs/>
          <w:color w:val="000000" w:themeColor="text1"/>
          <w:szCs w:val="32"/>
          <w:highlight w:val="none"/>
          <w14:textFill>
            <w14:solidFill>
              <w14:schemeClr w14:val="tx1"/>
            </w14:solidFill>
          </w14:textFill>
        </w:rPr>
      </w:pPr>
      <w:r>
        <w:rPr>
          <w:rFonts w:hint="eastAsia" w:hAnsi="宋体" w:cs="Calibri"/>
          <w:bCs/>
          <w:color w:val="000000" w:themeColor="text1"/>
          <w:szCs w:val="32"/>
          <w:highlight w:val="none"/>
          <w14:textFill>
            <w14:solidFill>
              <w14:schemeClr w14:val="tx1"/>
            </w14:solidFill>
          </w14:textFill>
        </w:rPr>
        <w:t>附件</w:t>
      </w:r>
    </w:p>
    <w:p w14:paraId="6B97BF98">
      <w:pPr>
        <w:spacing w:line="320" w:lineRule="exact"/>
        <w:jc w:val="center"/>
        <w:rPr>
          <w:rFonts w:hint="eastAsia" w:ascii="黑体" w:hAnsi="黑体" w:eastAsia="黑体" w:cs="Calibri"/>
          <w:bCs/>
          <w:color w:val="000000" w:themeColor="text1"/>
          <w:szCs w:val="32"/>
          <w:highlight w:val="none"/>
          <w14:textFill>
            <w14:solidFill>
              <w14:schemeClr w14:val="tx1"/>
            </w14:solidFill>
          </w14:textFill>
        </w:rPr>
      </w:pPr>
      <w:r>
        <w:rPr>
          <w:rFonts w:ascii="黑体" w:hAnsi="黑体" w:eastAsia="黑体" w:cs="Calibri"/>
          <w:bCs/>
          <w:color w:val="000000" w:themeColor="text1"/>
          <w:szCs w:val="32"/>
          <w:highlight w:val="none"/>
          <w14:textFill>
            <w14:solidFill>
              <w14:schemeClr w14:val="tx1"/>
            </w14:solidFill>
          </w14:textFill>
        </w:rPr>
        <w:t>20</w:t>
      </w:r>
      <w:r>
        <w:rPr>
          <w:rFonts w:hint="eastAsia" w:ascii="黑体" w:hAnsi="黑体" w:eastAsia="黑体" w:cs="Calibri"/>
          <w:bCs/>
          <w:color w:val="000000" w:themeColor="text1"/>
          <w:szCs w:val="32"/>
          <w:highlight w:val="none"/>
          <w:lang w:val="en-US" w:eastAsia="zh-CN"/>
          <w14:textFill>
            <w14:solidFill>
              <w14:schemeClr w14:val="tx1"/>
            </w14:solidFill>
          </w14:textFill>
        </w:rPr>
        <w:t>24</w:t>
      </w:r>
      <w:r>
        <w:rPr>
          <w:rFonts w:hint="eastAsia" w:ascii="黑体" w:hAnsi="黑体" w:eastAsia="黑体" w:cs="Calibri"/>
          <w:bCs/>
          <w:color w:val="000000" w:themeColor="text1"/>
          <w:szCs w:val="32"/>
          <w:highlight w:val="none"/>
          <w14:textFill>
            <w14:solidFill>
              <w14:schemeClr w14:val="tx1"/>
            </w14:solidFill>
          </w14:textFill>
        </w:rPr>
        <w:t>年绿色南京专项资金绩效</w:t>
      </w:r>
      <w:r>
        <w:rPr>
          <w:rFonts w:hint="eastAsia" w:ascii="黑体" w:hAnsi="黑体" w:eastAsia="黑体" w:cs="Calibri"/>
          <w:color w:val="000000" w:themeColor="text1"/>
          <w:szCs w:val="32"/>
          <w:highlight w:val="none"/>
          <w14:textFill>
            <w14:solidFill>
              <w14:schemeClr w14:val="tx1"/>
            </w14:solidFill>
          </w14:textFill>
        </w:rPr>
        <w:t>自评价</w:t>
      </w:r>
      <w:r>
        <w:rPr>
          <w:rFonts w:hint="eastAsia" w:ascii="黑体" w:hAnsi="黑体" w:eastAsia="黑体" w:cs="Calibri"/>
          <w:bCs/>
          <w:color w:val="000000" w:themeColor="text1"/>
          <w:szCs w:val="32"/>
          <w:highlight w:val="none"/>
          <w14:textFill>
            <w14:solidFill>
              <w14:schemeClr w14:val="tx1"/>
            </w14:solidFill>
          </w14:textFill>
        </w:rPr>
        <w:t>评分表</w:t>
      </w:r>
    </w:p>
    <w:tbl>
      <w:tblPr>
        <w:tblStyle w:val="17"/>
        <w:tblW w:w="13895" w:type="dxa"/>
        <w:tblInd w:w="93" w:type="dxa"/>
        <w:tblLayout w:type="fixed"/>
        <w:tblCellMar>
          <w:top w:w="0" w:type="dxa"/>
          <w:left w:w="108" w:type="dxa"/>
          <w:bottom w:w="0" w:type="dxa"/>
          <w:right w:w="108" w:type="dxa"/>
        </w:tblCellMar>
      </w:tblPr>
      <w:tblGrid>
        <w:gridCol w:w="776"/>
        <w:gridCol w:w="810"/>
        <w:gridCol w:w="1312"/>
        <w:gridCol w:w="870"/>
        <w:gridCol w:w="4538"/>
        <w:gridCol w:w="795"/>
        <w:gridCol w:w="4095"/>
        <w:gridCol w:w="699"/>
      </w:tblGrid>
      <w:tr w14:paraId="2F390ED8">
        <w:tblPrEx>
          <w:tblCellMar>
            <w:top w:w="0" w:type="dxa"/>
            <w:left w:w="108" w:type="dxa"/>
            <w:bottom w:w="0" w:type="dxa"/>
            <w:right w:w="108" w:type="dxa"/>
          </w:tblCellMar>
        </w:tblPrEx>
        <w:trPr>
          <w:trHeight w:val="600"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0AD1C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一级指标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2AF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38F9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三级指标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013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指标值</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004A0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指标解释</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66BE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分值</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00466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评分标准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2501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得分</w:t>
            </w:r>
          </w:p>
        </w:tc>
      </w:tr>
      <w:tr w14:paraId="24555DDB">
        <w:tblPrEx>
          <w:tblCellMar>
            <w:top w:w="0" w:type="dxa"/>
            <w:left w:w="108" w:type="dxa"/>
            <w:bottom w:w="0" w:type="dxa"/>
            <w:right w:w="108" w:type="dxa"/>
          </w:tblCellMar>
        </w:tblPrEx>
        <w:trPr>
          <w:trHeight w:val="600" w:hRule="atLeast"/>
        </w:trPr>
        <w:tc>
          <w:tcPr>
            <w:tcW w:w="776" w:type="dxa"/>
            <w:vMerge w:val="restart"/>
            <w:tcBorders>
              <w:top w:val="single" w:color="000000" w:sz="4" w:space="0"/>
              <w:left w:val="single" w:color="000000" w:sz="4" w:space="0"/>
              <w:right w:val="single" w:color="000000" w:sz="4" w:space="0"/>
            </w:tcBorders>
            <w:noWrap w:val="0"/>
            <w:vAlign w:val="center"/>
          </w:tcPr>
          <w:p w14:paraId="50BD6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决策</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1CD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项目立项</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C90D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立项依据充分性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8ACB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充分</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24991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项目立项依据是否充分完整，是否符合经济社会发展规划或实际民生需求。</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EE3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4095" w:type="dxa"/>
            <w:tcBorders>
              <w:top w:val="single" w:color="000000" w:sz="4" w:space="0"/>
              <w:left w:val="single" w:color="000000" w:sz="4" w:space="0"/>
              <w:bottom w:val="single" w:color="000000" w:sz="4" w:space="0"/>
              <w:right w:val="single" w:color="000000" w:sz="4" w:space="0"/>
            </w:tcBorders>
            <w:noWrap/>
            <w:vAlign w:val="center"/>
          </w:tcPr>
          <w:p w14:paraId="5BDFA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必要得2分，较有必要得1分，不必要得0分</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784E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143E49B5">
        <w:tblPrEx>
          <w:tblCellMar>
            <w:top w:w="0" w:type="dxa"/>
            <w:left w:w="108" w:type="dxa"/>
            <w:bottom w:w="0" w:type="dxa"/>
            <w:right w:w="108" w:type="dxa"/>
          </w:tblCellMar>
        </w:tblPrEx>
        <w:trPr>
          <w:trHeight w:val="600" w:hRule="atLeast"/>
        </w:trPr>
        <w:tc>
          <w:tcPr>
            <w:tcW w:w="776" w:type="dxa"/>
            <w:vMerge w:val="continue"/>
            <w:tcBorders>
              <w:left w:val="single" w:color="000000" w:sz="4" w:space="0"/>
              <w:right w:val="single" w:color="000000" w:sz="4" w:space="0"/>
            </w:tcBorders>
            <w:noWrap w:val="0"/>
            <w:vAlign w:val="center"/>
          </w:tcPr>
          <w:p w14:paraId="385BD2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4FA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435D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立项依据规范性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C4F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规范</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4A80A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项目的申请、设立过程是否符合相关要求。</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09C2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57A98C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符合要求或每年都要实施的项目，得2分，否则适当扣分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456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1C81AA97">
        <w:tblPrEx>
          <w:tblCellMar>
            <w:top w:w="0" w:type="dxa"/>
            <w:left w:w="108" w:type="dxa"/>
            <w:bottom w:w="0" w:type="dxa"/>
            <w:right w:w="108" w:type="dxa"/>
          </w:tblCellMar>
        </w:tblPrEx>
        <w:trPr>
          <w:trHeight w:val="820" w:hRule="atLeast"/>
        </w:trPr>
        <w:tc>
          <w:tcPr>
            <w:tcW w:w="776" w:type="dxa"/>
            <w:vMerge w:val="continue"/>
            <w:tcBorders>
              <w:left w:val="single" w:color="000000" w:sz="4" w:space="0"/>
              <w:right w:val="single" w:color="000000" w:sz="4" w:space="0"/>
            </w:tcBorders>
            <w:noWrap w:val="0"/>
            <w:vAlign w:val="center"/>
          </w:tcPr>
          <w:p w14:paraId="271F8F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restart"/>
            <w:tcBorders>
              <w:top w:val="single" w:color="000000" w:sz="4" w:space="0"/>
              <w:left w:val="single" w:color="000000" w:sz="4" w:space="0"/>
              <w:right w:val="single" w:color="000000" w:sz="4" w:space="0"/>
            </w:tcBorders>
            <w:noWrap w:val="0"/>
            <w:vAlign w:val="center"/>
          </w:tcPr>
          <w:p w14:paraId="74FEB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绩效目标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79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绩效目标合理性</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FD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合理</w:t>
            </w:r>
          </w:p>
        </w:tc>
        <w:tc>
          <w:tcPr>
            <w:tcW w:w="4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6EA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项目所设定的绩效目标是否依据充分，是否符合客观实际，用以反映和考核项目绩效目标与项目实施的相符情况。</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1C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3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合理得2分，较合理得1分，不合理0分</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B0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70A2B703">
        <w:tblPrEx>
          <w:tblCellMar>
            <w:top w:w="0" w:type="dxa"/>
            <w:left w:w="108" w:type="dxa"/>
            <w:bottom w:w="0" w:type="dxa"/>
            <w:right w:w="108" w:type="dxa"/>
          </w:tblCellMar>
        </w:tblPrEx>
        <w:trPr>
          <w:trHeight w:val="600" w:hRule="atLeast"/>
        </w:trPr>
        <w:tc>
          <w:tcPr>
            <w:tcW w:w="776" w:type="dxa"/>
            <w:vMerge w:val="continue"/>
            <w:tcBorders>
              <w:left w:val="single" w:color="000000" w:sz="4" w:space="0"/>
              <w:right w:val="single" w:color="000000" w:sz="4" w:space="0"/>
            </w:tcBorders>
            <w:noWrap w:val="0"/>
            <w:vAlign w:val="center"/>
          </w:tcPr>
          <w:p w14:paraId="5B39CA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000000" w:sz="4" w:space="0"/>
              <w:bottom w:val="single" w:color="auto" w:sz="4" w:space="0"/>
              <w:right w:val="single" w:color="000000" w:sz="4" w:space="0"/>
            </w:tcBorders>
            <w:noWrap w:val="0"/>
            <w:vAlign w:val="center"/>
          </w:tcPr>
          <w:p w14:paraId="1CFD0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7C81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绩效目标明确性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BF8D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明确</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696E79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项目执行计划是否明确。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71B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282543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可行得2分，较可行得1分，不可行0分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FB9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18F6576C">
        <w:tblPrEx>
          <w:tblCellMar>
            <w:top w:w="0" w:type="dxa"/>
            <w:left w:w="108" w:type="dxa"/>
            <w:bottom w:w="0" w:type="dxa"/>
            <w:right w:w="108" w:type="dxa"/>
          </w:tblCellMar>
        </w:tblPrEx>
        <w:trPr>
          <w:trHeight w:val="600" w:hRule="atLeast"/>
        </w:trPr>
        <w:tc>
          <w:tcPr>
            <w:tcW w:w="776" w:type="dxa"/>
            <w:vMerge w:val="continue"/>
            <w:tcBorders>
              <w:left w:val="single" w:color="000000" w:sz="4" w:space="0"/>
              <w:right w:val="single" w:color="auto" w:sz="4" w:space="0"/>
            </w:tcBorders>
            <w:noWrap w:val="0"/>
            <w:vAlign w:val="center"/>
          </w:tcPr>
          <w:p w14:paraId="3D8F65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77F39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资金投入</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6994D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预算编制科学性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0D516C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科学</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6B00D5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预算编制是否科学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2E6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50CB6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科学得2分，较科学得1分，不科学0分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C1F1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590D02FF">
        <w:tblPrEx>
          <w:tblCellMar>
            <w:top w:w="0" w:type="dxa"/>
            <w:left w:w="108" w:type="dxa"/>
            <w:bottom w:w="0" w:type="dxa"/>
            <w:right w:w="108" w:type="dxa"/>
          </w:tblCellMar>
        </w:tblPrEx>
        <w:trPr>
          <w:trHeight w:val="600" w:hRule="atLeast"/>
        </w:trPr>
        <w:tc>
          <w:tcPr>
            <w:tcW w:w="776" w:type="dxa"/>
            <w:vMerge w:val="continue"/>
            <w:tcBorders>
              <w:left w:val="single" w:color="000000" w:sz="4" w:space="0"/>
              <w:bottom w:val="single" w:color="000000" w:sz="4" w:space="0"/>
              <w:right w:val="single" w:color="auto" w:sz="4" w:space="0"/>
            </w:tcBorders>
            <w:noWrap w:val="0"/>
            <w:vAlign w:val="center"/>
          </w:tcPr>
          <w:p w14:paraId="7DB38F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14:paraId="0E350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560E6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资金分配合理性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D235B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合理</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30169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资金分配是否合理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ECE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351C2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合理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得2分，较</w:t>
            </w:r>
            <w:r>
              <w:rPr>
                <w:rFonts w:hint="eastAsia" w:ascii="宋体" w:hAnsi="宋体" w:eastAsia="宋体" w:cs="宋体"/>
                <w:i w:val="0"/>
                <w:iCs w:val="0"/>
                <w:color w:val="000000"/>
                <w:kern w:val="0"/>
                <w:sz w:val="18"/>
                <w:szCs w:val="18"/>
                <w:u w:val="none"/>
                <w:lang w:val="en-US" w:eastAsia="zh-CN" w:bidi="ar"/>
              </w:rPr>
              <w:t>合理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得1分，不</w:t>
            </w:r>
            <w:r>
              <w:rPr>
                <w:rFonts w:hint="eastAsia" w:ascii="宋体" w:hAnsi="宋体" w:eastAsia="宋体" w:cs="宋体"/>
                <w:i w:val="0"/>
                <w:iCs w:val="0"/>
                <w:color w:val="000000"/>
                <w:kern w:val="0"/>
                <w:sz w:val="18"/>
                <w:szCs w:val="18"/>
                <w:u w:val="none"/>
                <w:lang w:val="en-US" w:eastAsia="zh-CN" w:bidi="ar"/>
              </w:rPr>
              <w:t>合理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3E1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5B7E8312">
        <w:tblPrEx>
          <w:tblCellMar>
            <w:top w:w="0" w:type="dxa"/>
            <w:left w:w="108" w:type="dxa"/>
            <w:bottom w:w="0" w:type="dxa"/>
            <w:right w:w="108" w:type="dxa"/>
          </w:tblCellMar>
        </w:tblPrEx>
        <w:trPr>
          <w:trHeight w:val="600" w:hRule="atLeast"/>
        </w:trPr>
        <w:tc>
          <w:tcPr>
            <w:tcW w:w="776" w:type="dxa"/>
            <w:vMerge w:val="restart"/>
            <w:tcBorders>
              <w:left w:val="single" w:color="000000" w:sz="4" w:space="0"/>
              <w:right w:val="single" w:color="auto" w:sz="4" w:space="0"/>
            </w:tcBorders>
            <w:noWrap w:val="0"/>
            <w:vAlign w:val="center"/>
          </w:tcPr>
          <w:p w14:paraId="023975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过程</w:t>
            </w:r>
          </w:p>
        </w:tc>
        <w:tc>
          <w:tcPr>
            <w:tcW w:w="810" w:type="dxa"/>
            <w:vMerge w:val="restart"/>
            <w:tcBorders>
              <w:top w:val="single" w:color="auto" w:sz="4" w:space="0"/>
              <w:left w:val="single" w:color="auto" w:sz="4" w:space="0"/>
              <w:right w:val="single" w:color="auto" w:sz="4" w:space="0"/>
            </w:tcBorders>
            <w:noWrap w:val="0"/>
            <w:vAlign w:val="center"/>
          </w:tcPr>
          <w:p w14:paraId="227F1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资金管理</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08186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资金到位率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610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7C60B6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资金是否足额到位</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ED4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2B9596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到位得4-5分，较到位1-3分，不到位0分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FBD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702A6903">
        <w:tblPrEx>
          <w:tblCellMar>
            <w:top w:w="0" w:type="dxa"/>
            <w:left w:w="108" w:type="dxa"/>
            <w:bottom w:w="0" w:type="dxa"/>
            <w:right w:w="108" w:type="dxa"/>
          </w:tblCellMar>
        </w:tblPrEx>
        <w:trPr>
          <w:trHeight w:val="600" w:hRule="atLeast"/>
        </w:trPr>
        <w:tc>
          <w:tcPr>
            <w:tcW w:w="776" w:type="dxa"/>
            <w:vMerge w:val="continue"/>
            <w:tcBorders>
              <w:left w:val="single" w:color="000000" w:sz="4" w:space="0"/>
              <w:right w:val="single" w:color="auto" w:sz="4" w:space="0"/>
            </w:tcBorders>
            <w:noWrap w:val="0"/>
            <w:vAlign w:val="center"/>
          </w:tcPr>
          <w:p w14:paraId="7DFFD4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auto" w:sz="4" w:space="0"/>
              <w:right w:val="single" w:color="auto" w:sz="4" w:space="0"/>
            </w:tcBorders>
            <w:noWrap w:val="0"/>
            <w:vAlign w:val="center"/>
          </w:tcPr>
          <w:p w14:paraId="356C4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1EBF6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预算执行率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7870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95%以上</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01FB19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预算执行率是否超过95%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331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6A1DD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预算执行率95%以上5分，90%以上4分，85%以上3分，80%以上2分，80%以下0分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A5E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02CF0095">
        <w:tblPrEx>
          <w:tblCellMar>
            <w:top w:w="0" w:type="dxa"/>
            <w:left w:w="108" w:type="dxa"/>
            <w:bottom w:w="0" w:type="dxa"/>
            <w:right w:w="108" w:type="dxa"/>
          </w:tblCellMar>
        </w:tblPrEx>
        <w:trPr>
          <w:trHeight w:val="600" w:hRule="atLeast"/>
        </w:trPr>
        <w:tc>
          <w:tcPr>
            <w:tcW w:w="776" w:type="dxa"/>
            <w:vMerge w:val="continue"/>
            <w:tcBorders>
              <w:left w:val="single" w:color="000000" w:sz="4" w:space="0"/>
              <w:right w:val="single" w:color="auto" w:sz="4" w:space="0"/>
            </w:tcBorders>
            <w:noWrap w:val="0"/>
            <w:vAlign w:val="center"/>
          </w:tcPr>
          <w:p w14:paraId="5534D1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auto" w:sz="4" w:space="0"/>
              <w:bottom w:val="single" w:color="auto" w:sz="4" w:space="0"/>
              <w:right w:val="single" w:color="auto" w:sz="4" w:space="0"/>
            </w:tcBorders>
            <w:noWrap w:val="0"/>
            <w:vAlign w:val="center"/>
          </w:tcPr>
          <w:p w14:paraId="4CDF3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427A9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资金使用合规性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BEE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合规</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54D6B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资金使用是否合规</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446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F43AF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合规4-5分，较合规1-3分，不合规合理0分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A0A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511DCE22">
        <w:tblPrEx>
          <w:tblCellMar>
            <w:top w:w="0" w:type="dxa"/>
            <w:left w:w="108" w:type="dxa"/>
            <w:bottom w:w="0" w:type="dxa"/>
            <w:right w:w="108" w:type="dxa"/>
          </w:tblCellMar>
        </w:tblPrEx>
        <w:trPr>
          <w:trHeight w:val="600" w:hRule="atLeast"/>
        </w:trPr>
        <w:tc>
          <w:tcPr>
            <w:tcW w:w="776" w:type="dxa"/>
            <w:vMerge w:val="continue"/>
            <w:tcBorders>
              <w:left w:val="single" w:color="000000" w:sz="4" w:space="0"/>
              <w:right w:val="single" w:color="auto" w:sz="4" w:space="0"/>
            </w:tcBorders>
            <w:noWrap w:val="0"/>
            <w:vAlign w:val="center"/>
          </w:tcPr>
          <w:p w14:paraId="69B84A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restart"/>
            <w:tcBorders>
              <w:top w:val="single" w:color="auto" w:sz="4" w:space="0"/>
              <w:left w:val="single" w:color="auto" w:sz="4" w:space="0"/>
              <w:right w:val="single" w:color="auto" w:sz="4" w:space="0"/>
            </w:tcBorders>
            <w:noWrap w:val="0"/>
            <w:vAlign w:val="center"/>
          </w:tcPr>
          <w:p w14:paraId="1398C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组织实施</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71E60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管理制度健全性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15A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健全</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1D3EA9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管理制度是否健全</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458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0B2F0D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“健全”5分，“较健全”4分，“存在一定不足”2-3分，“存在较大问题”0-1分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BFF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425B271C">
        <w:tblPrEx>
          <w:tblCellMar>
            <w:top w:w="0" w:type="dxa"/>
            <w:left w:w="108" w:type="dxa"/>
            <w:bottom w:w="0" w:type="dxa"/>
            <w:right w:w="108" w:type="dxa"/>
          </w:tblCellMar>
        </w:tblPrEx>
        <w:trPr>
          <w:trHeight w:val="600" w:hRule="atLeast"/>
        </w:trPr>
        <w:tc>
          <w:tcPr>
            <w:tcW w:w="776" w:type="dxa"/>
            <w:vMerge w:val="continue"/>
            <w:tcBorders>
              <w:left w:val="single" w:color="000000" w:sz="4" w:space="0"/>
              <w:bottom w:val="single" w:color="000000" w:sz="4" w:space="0"/>
              <w:right w:val="single" w:color="auto" w:sz="4" w:space="0"/>
            </w:tcBorders>
            <w:noWrap w:val="0"/>
            <w:vAlign w:val="center"/>
          </w:tcPr>
          <w:p w14:paraId="2E27FF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auto" w:sz="4" w:space="0"/>
              <w:bottom w:val="single" w:color="auto" w:sz="4" w:space="0"/>
              <w:right w:val="single" w:color="auto" w:sz="4" w:space="0"/>
            </w:tcBorders>
            <w:noWrap w:val="0"/>
            <w:vAlign w:val="center"/>
          </w:tcPr>
          <w:p w14:paraId="5D6E8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5F934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制度执行有效性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9BCE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有效</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6CFA22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制度执行是否有效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5A9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91C0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有效4-5分，较有效1-3分，没有效果0分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0C6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6D188AA5">
        <w:tblPrEx>
          <w:tblCellMar>
            <w:top w:w="0" w:type="dxa"/>
            <w:left w:w="108" w:type="dxa"/>
            <w:bottom w:w="0" w:type="dxa"/>
            <w:right w:w="108" w:type="dxa"/>
          </w:tblCellMar>
        </w:tblPrEx>
        <w:trPr>
          <w:trHeight w:val="840" w:hRule="atLeast"/>
        </w:trPr>
        <w:tc>
          <w:tcPr>
            <w:tcW w:w="776" w:type="dxa"/>
            <w:vMerge w:val="restart"/>
            <w:tcBorders>
              <w:top w:val="single" w:color="000000" w:sz="4" w:space="0"/>
              <w:left w:val="single" w:color="000000" w:sz="4" w:space="0"/>
              <w:right w:val="single" w:color="000000" w:sz="4" w:space="0"/>
            </w:tcBorders>
            <w:noWrap w:val="0"/>
            <w:vAlign w:val="center"/>
          </w:tcPr>
          <w:p w14:paraId="69635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bookmarkStart w:id="3" w:name="_GoBack" w:colFirst="6" w:colLast="6"/>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产出指标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A32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8AFD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完成省市目标任务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483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7F2E39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完成省市确定的成片造林、村庄绿化、森林抚育、杨树改造任务等情况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2F8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1ABD01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完成率达到95%得10，每降低5%扣1分，扣完为止</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7EA8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r>
      <w:tr w14:paraId="2DE38413">
        <w:tblPrEx>
          <w:tblCellMar>
            <w:top w:w="0" w:type="dxa"/>
            <w:left w:w="108" w:type="dxa"/>
            <w:bottom w:w="0" w:type="dxa"/>
            <w:right w:w="108" w:type="dxa"/>
          </w:tblCellMar>
        </w:tblPrEx>
        <w:trPr>
          <w:trHeight w:val="840" w:hRule="atLeast"/>
        </w:trPr>
        <w:tc>
          <w:tcPr>
            <w:tcW w:w="776" w:type="dxa"/>
            <w:vMerge w:val="continue"/>
            <w:tcBorders>
              <w:left w:val="single" w:color="000000" w:sz="4" w:space="0"/>
              <w:right w:val="single" w:color="000000" w:sz="4" w:space="0"/>
            </w:tcBorders>
            <w:noWrap w:val="0"/>
            <w:vAlign w:val="center"/>
          </w:tcPr>
          <w:p w14:paraId="7FAF25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restart"/>
            <w:tcBorders>
              <w:top w:val="single" w:color="000000" w:sz="4" w:space="0"/>
              <w:left w:val="single" w:color="000000" w:sz="4" w:space="0"/>
              <w:right w:val="single" w:color="000000" w:sz="4" w:space="0"/>
            </w:tcBorders>
            <w:noWrap w:val="0"/>
            <w:vAlign w:val="center"/>
          </w:tcPr>
          <w:p w14:paraId="6ED39C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0264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造林存活率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07D9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≥90%</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03B72C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造林存活率≥90%。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096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07634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存活率达90%以上得5，每降低5%扣1分，扣完为止</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389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65F9CA6C">
        <w:tblPrEx>
          <w:tblCellMar>
            <w:top w:w="0" w:type="dxa"/>
            <w:left w:w="108" w:type="dxa"/>
            <w:bottom w:w="0" w:type="dxa"/>
            <w:right w:w="108" w:type="dxa"/>
          </w:tblCellMar>
        </w:tblPrEx>
        <w:trPr>
          <w:trHeight w:val="840" w:hRule="atLeast"/>
        </w:trPr>
        <w:tc>
          <w:tcPr>
            <w:tcW w:w="776" w:type="dxa"/>
            <w:vMerge w:val="continue"/>
            <w:tcBorders>
              <w:left w:val="single" w:color="000000" w:sz="4" w:space="0"/>
              <w:right w:val="single" w:color="000000" w:sz="4" w:space="0"/>
            </w:tcBorders>
            <w:noWrap w:val="0"/>
            <w:vAlign w:val="center"/>
          </w:tcPr>
          <w:p w14:paraId="540B66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000000" w:sz="4" w:space="0"/>
              <w:right w:val="single" w:color="000000" w:sz="4" w:space="0"/>
            </w:tcBorders>
            <w:noWrap w:val="0"/>
            <w:vAlign w:val="center"/>
          </w:tcPr>
          <w:p w14:paraId="6B1F66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31B9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造林保存率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91D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≥90%</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30950E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造林保存率≥90%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402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11EDC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保存率90%以上得8，每降低1%扣1分，扣完为止</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519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r>
      <w:tr w14:paraId="1E3421B0">
        <w:tblPrEx>
          <w:tblCellMar>
            <w:top w:w="0" w:type="dxa"/>
            <w:left w:w="108" w:type="dxa"/>
            <w:bottom w:w="0" w:type="dxa"/>
            <w:right w:w="108" w:type="dxa"/>
          </w:tblCellMar>
        </w:tblPrEx>
        <w:trPr>
          <w:trHeight w:val="840" w:hRule="atLeast"/>
        </w:trPr>
        <w:tc>
          <w:tcPr>
            <w:tcW w:w="776" w:type="dxa"/>
            <w:vMerge w:val="continue"/>
            <w:tcBorders>
              <w:left w:val="single" w:color="000000" w:sz="4" w:space="0"/>
              <w:right w:val="single" w:color="000000" w:sz="4" w:space="0"/>
            </w:tcBorders>
            <w:noWrap w:val="0"/>
            <w:vAlign w:val="center"/>
          </w:tcPr>
          <w:p w14:paraId="1F0664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000000" w:sz="4" w:space="0"/>
              <w:bottom w:val="single" w:color="000000" w:sz="4" w:space="0"/>
              <w:right w:val="single" w:color="000000" w:sz="4" w:space="0"/>
            </w:tcBorders>
            <w:noWrap w:val="0"/>
            <w:vAlign w:val="center"/>
          </w:tcPr>
          <w:p w14:paraId="37D6CE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shd w:val="clear"/>
            <w:noWrap w:val="0"/>
            <w:vAlign w:val="center"/>
          </w:tcPr>
          <w:p w14:paraId="6032C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资金投向合理、使用合规</w:t>
            </w:r>
          </w:p>
        </w:tc>
        <w:tc>
          <w:tcPr>
            <w:tcW w:w="870" w:type="dxa"/>
            <w:tcBorders>
              <w:top w:val="single" w:color="000000" w:sz="4" w:space="0"/>
              <w:left w:val="single" w:color="000000" w:sz="4" w:space="0"/>
              <w:bottom w:val="single" w:color="000000" w:sz="4" w:space="0"/>
              <w:right w:val="single" w:color="000000" w:sz="4" w:space="0"/>
            </w:tcBorders>
            <w:shd w:val="clear"/>
            <w:noWrap w:val="0"/>
            <w:vAlign w:val="center"/>
          </w:tcPr>
          <w:p w14:paraId="3C905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合理合规</w:t>
            </w:r>
          </w:p>
        </w:tc>
        <w:tc>
          <w:tcPr>
            <w:tcW w:w="4538" w:type="dxa"/>
            <w:tcBorders>
              <w:top w:val="single" w:color="000000" w:sz="4" w:space="0"/>
              <w:left w:val="single" w:color="000000" w:sz="4" w:space="0"/>
              <w:bottom w:val="single" w:color="000000" w:sz="4" w:space="0"/>
              <w:right w:val="single" w:color="000000" w:sz="4" w:space="0"/>
            </w:tcBorders>
            <w:shd w:val="clear"/>
            <w:noWrap w:val="0"/>
            <w:vAlign w:val="center"/>
          </w:tcPr>
          <w:p w14:paraId="3C789A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资金投向合理、使用合规</w:t>
            </w:r>
          </w:p>
        </w:tc>
        <w:tc>
          <w:tcPr>
            <w:tcW w:w="795" w:type="dxa"/>
            <w:tcBorders>
              <w:top w:val="single" w:color="000000" w:sz="4" w:space="0"/>
              <w:left w:val="single" w:color="000000" w:sz="4" w:space="0"/>
              <w:bottom w:val="single" w:color="000000" w:sz="4" w:space="0"/>
              <w:right w:val="single" w:color="000000" w:sz="4" w:space="0"/>
            </w:tcBorders>
            <w:shd w:val="clear"/>
            <w:noWrap w:val="0"/>
            <w:vAlign w:val="center"/>
          </w:tcPr>
          <w:p w14:paraId="6010D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shd w:val="clear"/>
            <w:noWrap w:val="0"/>
            <w:vAlign w:val="center"/>
          </w:tcPr>
          <w:p w14:paraId="152843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合理合规</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得4-5分，较</w:t>
            </w:r>
            <w:r>
              <w:rPr>
                <w:rFonts w:hint="eastAsia" w:ascii="宋体" w:hAnsi="宋体" w:eastAsia="宋体" w:cs="宋体"/>
                <w:i w:val="0"/>
                <w:iCs w:val="0"/>
                <w:color w:val="000000"/>
                <w:kern w:val="0"/>
                <w:sz w:val="18"/>
                <w:szCs w:val="18"/>
                <w:u w:val="none"/>
                <w:lang w:val="en-US" w:eastAsia="zh-CN" w:bidi="ar"/>
              </w:rPr>
              <w:t>合理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得1-3分，不</w:t>
            </w:r>
            <w:r>
              <w:rPr>
                <w:rFonts w:hint="eastAsia" w:ascii="宋体" w:hAnsi="宋体" w:eastAsia="宋体" w:cs="宋体"/>
                <w:i w:val="0"/>
                <w:iCs w:val="0"/>
                <w:color w:val="000000"/>
                <w:kern w:val="0"/>
                <w:sz w:val="18"/>
                <w:szCs w:val="18"/>
                <w:u w:val="none"/>
                <w:lang w:val="en-US" w:eastAsia="zh-CN" w:bidi="ar"/>
              </w:rPr>
              <w:t>合理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0分</w:t>
            </w:r>
          </w:p>
        </w:tc>
        <w:tc>
          <w:tcPr>
            <w:tcW w:w="699" w:type="dxa"/>
            <w:tcBorders>
              <w:top w:val="single" w:color="000000" w:sz="4" w:space="0"/>
              <w:left w:val="single" w:color="000000" w:sz="4" w:space="0"/>
              <w:bottom w:val="single" w:color="000000" w:sz="4" w:space="0"/>
              <w:right w:val="single" w:color="000000" w:sz="4" w:space="0"/>
            </w:tcBorders>
            <w:shd w:val="clear"/>
            <w:noWrap w:val="0"/>
            <w:vAlign w:val="center"/>
          </w:tcPr>
          <w:p w14:paraId="202DD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2BB28296">
        <w:tblPrEx>
          <w:tblCellMar>
            <w:top w:w="0" w:type="dxa"/>
            <w:left w:w="108" w:type="dxa"/>
            <w:bottom w:w="0" w:type="dxa"/>
            <w:right w:w="108" w:type="dxa"/>
          </w:tblCellMar>
        </w:tblPrEx>
        <w:trPr>
          <w:trHeight w:val="840" w:hRule="atLeast"/>
        </w:trPr>
        <w:tc>
          <w:tcPr>
            <w:tcW w:w="776" w:type="dxa"/>
            <w:vMerge w:val="continue"/>
            <w:tcBorders>
              <w:left w:val="single" w:color="000000" w:sz="4" w:space="0"/>
              <w:right w:val="single" w:color="000000" w:sz="4" w:space="0"/>
            </w:tcBorders>
            <w:noWrap w:val="0"/>
            <w:vAlign w:val="center"/>
          </w:tcPr>
          <w:p w14:paraId="037B6D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5648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2545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及时完成</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36B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及时</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3C7751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项目实际提前完成时间与计划完成时间的比率，用以反映和考核项目产出实效目标的实现程度。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669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6D1AD4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完成及时率达95%得5，每降低5%扣1分，扣完为止</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4C6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r>
      <w:tr w14:paraId="5267C525">
        <w:tblPrEx>
          <w:tblCellMar>
            <w:top w:w="0" w:type="dxa"/>
            <w:left w:w="108" w:type="dxa"/>
            <w:bottom w:w="0" w:type="dxa"/>
            <w:right w:w="108" w:type="dxa"/>
          </w:tblCellMar>
        </w:tblPrEx>
        <w:trPr>
          <w:trHeight w:val="900" w:hRule="atLeast"/>
        </w:trPr>
        <w:tc>
          <w:tcPr>
            <w:tcW w:w="776" w:type="dxa"/>
            <w:vMerge w:val="restart"/>
            <w:tcBorders>
              <w:top w:val="single" w:color="000000" w:sz="4" w:space="0"/>
              <w:left w:val="single" w:color="000000" w:sz="4" w:space="0"/>
              <w:right w:val="single" w:color="000000" w:sz="4" w:space="0"/>
            </w:tcBorders>
            <w:noWrap w:val="0"/>
            <w:vAlign w:val="center"/>
          </w:tcPr>
          <w:p w14:paraId="5F3231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效益指标</w:t>
            </w:r>
          </w:p>
        </w:tc>
        <w:tc>
          <w:tcPr>
            <w:tcW w:w="810" w:type="dxa"/>
            <w:vMerge w:val="restart"/>
            <w:tcBorders>
              <w:top w:val="single" w:color="000000" w:sz="4" w:space="0"/>
              <w:left w:val="single" w:color="000000" w:sz="4" w:space="0"/>
              <w:right w:val="single" w:color="000000" w:sz="4" w:space="0"/>
            </w:tcBorders>
            <w:noWrap w:val="0"/>
            <w:vAlign w:val="center"/>
          </w:tcPr>
          <w:p w14:paraId="22F490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生态效益指标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DF9A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森林火灾控制率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63AF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1.2公顷/次以下</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29E4F5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森林火灾控制率在1.2公顷/次以下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FC5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5C9B1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森林火灾控制率在1.2公顷/次以下，得5分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321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7D6FA8D1">
        <w:tblPrEx>
          <w:tblCellMar>
            <w:top w:w="0" w:type="dxa"/>
            <w:left w:w="108" w:type="dxa"/>
            <w:bottom w:w="0" w:type="dxa"/>
            <w:right w:w="108" w:type="dxa"/>
          </w:tblCellMar>
        </w:tblPrEx>
        <w:trPr>
          <w:trHeight w:val="900" w:hRule="atLeast"/>
        </w:trPr>
        <w:tc>
          <w:tcPr>
            <w:tcW w:w="776" w:type="dxa"/>
            <w:vMerge w:val="continue"/>
            <w:tcBorders>
              <w:left w:val="single" w:color="000000" w:sz="4" w:space="0"/>
              <w:right w:val="single" w:color="000000" w:sz="4" w:space="0"/>
            </w:tcBorders>
            <w:noWrap w:val="0"/>
            <w:vAlign w:val="center"/>
          </w:tcPr>
          <w:p w14:paraId="12C551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vMerge w:val="continue"/>
            <w:tcBorders>
              <w:left w:val="single" w:color="000000" w:sz="4" w:space="0"/>
              <w:right w:val="single" w:color="000000" w:sz="4" w:space="0"/>
            </w:tcBorders>
            <w:noWrap w:val="0"/>
            <w:vAlign w:val="center"/>
          </w:tcPr>
          <w:p w14:paraId="5D104B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2F1D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森林火灾受害率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687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0.3‰以下</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10C2AD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森林火灾受害率0.3‰以下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36A3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41194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森林火灾受害率0.3‰以下，得5分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DEC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r>
      <w:tr w14:paraId="3D595C63">
        <w:tblPrEx>
          <w:tblCellMar>
            <w:top w:w="0" w:type="dxa"/>
            <w:left w:w="108" w:type="dxa"/>
            <w:bottom w:w="0" w:type="dxa"/>
            <w:right w:w="108" w:type="dxa"/>
          </w:tblCellMar>
        </w:tblPrEx>
        <w:trPr>
          <w:trHeight w:val="900" w:hRule="atLeast"/>
        </w:trPr>
        <w:tc>
          <w:tcPr>
            <w:tcW w:w="776" w:type="dxa"/>
            <w:vMerge w:val="continue"/>
            <w:tcBorders>
              <w:left w:val="single" w:color="000000" w:sz="4" w:space="0"/>
              <w:bottom w:val="single" w:color="auto" w:sz="4" w:space="0"/>
              <w:right w:val="single" w:color="000000" w:sz="4" w:space="0"/>
            </w:tcBorders>
            <w:noWrap w:val="0"/>
            <w:vAlign w:val="center"/>
          </w:tcPr>
          <w:p w14:paraId="1873FB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10" w:type="dxa"/>
            <w:tcBorders>
              <w:top w:val="single" w:color="000000" w:sz="4" w:space="0"/>
              <w:left w:val="single" w:color="000000" w:sz="4" w:space="0"/>
              <w:bottom w:val="single" w:color="auto" w:sz="4" w:space="0"/>
              <w:right w:val="single" w:color="000000" w:sz="4" w:space="0"/>
            </w:tcBorders>
            <w:noWrap w:val="0"/>
            <w:vAlign w:val="center"/>
          </w:tcPr>
          <w:p w14:paraId="431CB4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可持续影响指标</w:t>
            </w:r>
          </w:p>
        </w:tc>
        <w:tc>
          <w:tcPr>
            <w:tcW w:w="1312" w:type="dxa"/>
            <w:tcBorders>
              <w:top w:val="single" w:color="000000" w:sz="4" w:space="0"/>
              <w:left w:val="single" w:color="000000" w:sz="4" w:space="0"/>
              <w:bottom w:val="single" w:color="auto" w:sz="4" w:space="0"/>
              <w:right w:val="single" w:color="000000" w:sz="4" w:space="0"/>
            </w:tcBorders>
            <w:noWrap w:val="0"/>
            <w:vAlign w:val="center"/>
          </w:tcPr>
          <w:p w14:paraId="05637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森林、湿地生态系统功能改善可持续影响</w:t>
            </w:r>
          </w:p>
        </w:tc>
        <w:tc>
          <w:tcPr>
            <w:tcW w:w="870" w:type="dxa"/>
            <w:tcBorders>
              <w:top w:val="single" w:color="000000" w:sz="4" w:space="0"/>
              <w:left w:val="single" w:color="000000" w:sz="4" w:space="0"/>
              <w:bottom w:val="single" w:color="auto" w:sz="4" w:space="0"/>
              <w:right w:val="single" w:color="000000" w:sz="4" w:space="0"/>
            </w:tcBorders>
            <w:noWrap w:val="0"/>
            <w:vAlign w:val="center"/>
          </w:tcPr>
          <w:p w14:paraId="2B4DF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明显</w:t>
            </w:r>
          </w:p>
        </w:tc>
        <w:tc>
          <w:tcPr>
            <w:tcW w:w="4538" w:type="dxa"/>
            <w:tcBorders>
              <w:top w:val="single" w:color="000000" w:sz="4" w:space="0"/>
              <w:left w:val="single" w:color="000000" w:sz="4" w:space="0"/>
              <w:bottom w:val="single" w:color="000000" w:sz="4" w:space="0"/>
              <w:right w:val="single" w:color="000000" w:sz="4" w:space="0"/>
            </w:tcBorders>
            <w:noWrap w:val="0"/>
            <w:vAlign w:val="center"/>
          </w:tcPr>
          <w:p w14:paraId="10EA0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森林、湿地生态系统功能改善可持续</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CBE6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7C4F19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明显得9-10分，较明显得6-8，不明确得0-5分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5A3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r>
      <w:tr w14:paraId="621D9A22">
        <w:tblPrEx>
          <w:tblCellMar>
            <w:top w:w="0" w:type="dxa"/>
            <w:left w:w="108" w:type="dxa"/>
            <w:bottom w:w="0" w:type="dxa"/>
            <w:right w:w="108" w:type="dxa"/>
          </w:tblCellMar>
        </w:tblPrEx>
        <w:trPr>
          <w:trHeight w:val="825" w:hRule="atLeast"/>
        </w:trPr>
        <w:tc>
          <w:tcPr>
            <w:tcW w:w="776" w:type="dxa"/>
            <w:tcBorders>
              <w:top w:val="single" w:color="auto" w:sz="4" w:space="0"/>
              <w:left w:val="single" w:color="auto" w:sz="4" w:space="0"/>
              <w:bottom w:val="single" w:color="auto" w:sz="4" w:space="0"/>
              <w:right w:val="single" w:color="000000" w:sz="4" w:space="0"/>
            </w:tcBorders>
            <w:noWrap w:val="0"/>
            <w:vAlign w:val="center"/>
          </w:tcPr>
          <w:p w14:paraId="14AB7C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满意度指标</w:t>
            </w:r>
          </w:p>
        </w:tc>
        <w:tc>
          <w:tcPr>
            <w:tcW w:w="810" w:type="dxa"/>
            <w:tcBorders>
              <w:top w:val="single" w:color="auto" w:sz="4" w:space="0"/>
              <w:left w:val="single" w:color="000000" w:sz="4" w:space="0"/>
              <w:bottom w:val="single" w:color="auto" w:sz="4" w:space="0"/>
              <w:right w:val="single" w:color="000000" w:sz="4" w:space="0"/>
            </w:tcBorders>
            <w:noWrap w:val="0"/>
            <w:vAlign w:val="center"/>
          </w:tcPr>
          <w:p w14:paraId="13A204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满意度指标</w:t>
            </w:r>
          </w:p>
        </w:tc>
        <w:tc>
          <w:tcPr>
            <w:tcW w:w="1312" w:type="dxa"/>
            <w:tcBorders>
              <w:top w:val="single" w:color="auto" w:sz="4" w:space="0"/>
              <w:left w:val="single" w:color="000000" w:sz="4" w:space="0"/>
              <w:bottom w:val="single" w:color="auto" w:sz="4" w:space="0"/>
              <w:right w:val="single" w:color="000000" w:sz="4" w:space="0"/>
            </w:tcBorders>
            <w:noWrap w:val="0"/>
            <w:vAlign w:val="center"/>
          </w:tcPr>
          <w:p w14:paraId="249B7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服务对象满意</w:t>
            </w:r>
          </w:p>
        </w:tc>
        <w:tc>
          <w:tcPr>
            <w:tcW w:w="870" w:type="dxa"/>
            <w:tcBorders>
              <w:top w:val="single" w:color="auto" w:sz="4" w:space="0"/>
              <w:left w:val="single" w:color="000000" w:sz="4" w:space="0"/>
              <w:bottom w:val="single" w:color="auto" w:sz="4" w:space="0"/>
              <w:right w:val="single" w:color="auto" w:sz="4" w:space="0"/>
            </w:tcBorders>
            <w:noWrap w:val="0"/>
            <w:vAlign w:val="center"/>
          </w:tcPr>
          <w:p w14:paraId="7E641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满意</w:t>
            </w:r>
          </w:p>
        </w:tc>
        <w:tc>
          <w:tcPr>
            <w:tcW w:w="4538" w:type="dxa"/>
            <w:tcBorders>
              <w:top w:val="single" w:color="000000" w:sz="4" w:space="0"/>
              <w:left w:val="single" w:color="auto" w:sz="4" w:space="0"/>
              <w:bottom w:val="single" w:color="000000" w:sz="4" w:space="0"/>
              <w:right w:val="single" w:color="000000" w:sz="4" w:space="0"/>
            </w:tcBorders>
            <w:noWrap w:val="0"/>
            <w:vAlign w:val="center"/>
          </w:tcPr>
          <w:p w14:paraId="5C9EB1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服务对象满意</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8CA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14:paraId="098F68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服务对象满意超过90%，得</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92B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r>
      <w:bookmarkEnd w:id="3"/>
    </w:tbl>
    <w:p w14:paraId="3A2FB4A0">
      <w:pPr>
        <w:spacing w:line="360" w:lineRule="auto"/>
        <w:rPr>
          <w:rFonts w:hint="eastAsia" w:hAnsi="宋体" w:cs="Calibri"/>
          <w:color w:val="000000" w:themeColor="text1"/>
          <w:szCs w:val="32"/>
          <w:highlight w:val="none"/>
          <w14:textFill>
            <w14:solidFill>
              <w14:schemeClr w14:val="tx1"/>
            </w14:solidFill>
          </w14:textFill>
        </w:rPr>
      </w:pPr>
    </w:p>
    <w:sectPr>
      <w:pgSz w:w="16838" w:h="11906" w:orient="landscape"/>
      <w:pgMar w:top="1531" w:right="1531" w:bottom="1531" w:left="1531" w:header="851" w:footer="992" w:gutter="0"/>
      <w:pgBorders>
        <w:top w:val="none" w:sz="0" w:space="0"/>
        <w:left w:val="none" w:sz="0" w:space="0"/>
        <w:bottom w:val="none" w:sz="0" w:space="0"/>
        <w:right w:val="none" w:sz="0" w:space="0"/>
      </w:pgBorders>
      <w:cols w:space="720" w:num="1"/>
      <w:docGrid w:type="lines" w:linePitch="62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大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9F564">
    <w:pPr>
      <w:pStyle w:val="9"/>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1350FD4F">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31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NzcwODNkNGY5NTMyZGY5MDI4YzgyZTI1NzkwNjAifQ=="/>
  </w:docVars>
  <w:rsids>
    <w:rsidRoot w:val="00D47335"/>
    <w:rsid w:val="0000101B"/>
    <w:rsid w:val="00005525"/>
    <w:rsid w:val="00005B2C"/>
    <w:rsid w:val="00010AFE"/>
    <w:rsid w:val="000114A7"/>
    <w:rsid w:val="00016DF3"/>
    <w:rsid w:val="000171A5"/>
    <w:rsid w:val="0002197A"/>
    <w:rsid w:val="000228FA"/>
    <w:rsid w:val="00023161"/>
    <w:rsid w:val="000238FF"/>
    <w:rsid w:val="00023A57"/>
    <w:rsid w:val="000246AE"/>
    <w:rsid w:val="00024E21"/>
    <w:rsid w:val="00033703"/>
    <w:rsid w:val="00033F1D"/>
    <w:rsid w:val="00035562"/>
    <w:rsid w:val="00035E42"/>
    <w:rsid w:val="000368EF"/>
    <w:rsid w:val="00036989"/>
    <w:rsid w:val="00036CCD"/>
    <w:rsid w:val="00037D7D"/>
    <w:rsid w:val="00041D19"/>
    <w:rsid w:val="00047C18"/>
    <w:rsid w:val="00051621"/>
    <w:rsid w:val="00051CA2"/>
    <w:rsid w:val="00052C0D"/>
    <w:rsid w:val="00053809"/>
    <w:rsid w:val="00054373"/>
    <w:rsid w:val="00055254"/>
    <w:rsid w:val="00056C72"/>
    <w:rsid w:val="00056D32"/>
    <w:rsid w:val="00057B68"/>
    <w:rsid w:val="00060469"/>
    <w:rsid w:val="00061E82"/>
    <w:rsid w:val="000621C5"/>
    <w:rsid w:val="00063AEE"/>
    <w:rsid w:val="0006508F"/>
    <w:rsid w:val="00065561"/>
    <w:rsid w:val="00065B59"/>
    <w:rsid w:val="000660F4"/>
    <w:rsid w:val="00066599"/>
    <w:rsid w:val="00066A23"/>
    <w:rsid w:val="00071982"/>
    <w:rsid w:val="00072C41"/>
    <w:rsid w:val="00072DAD"/>
    <w:rsid w:val="00074993"/>
    <w:rsid w:val="00074A16"/>
    <w:rsid w:val="00077297"/>
    <w:rsid w:val="0008051F"/>
    <w:rsid w:val="00080990"/>
    <w:rsid w:val="00081655"/>
    <w:rsid w:val="00084581"/>
    <w:rsid w:val="000845DE"/>
    <w:rsid w:val="0008656F"/>
    <w:rsid w:val="00086F41"/>
    <w:rsid w:val="00087871"/>
    <w:rsid w:val="00087CC0"/>
    <w:rsid w:val="000906C0"/>
    <w:rsid w:val="00090CA6"/>
    <w:rsid w:val="00091827"/>
    <w:rsid w:val="00091F53"/>
    <w:rsid w:val="000962D8"/>
    <w:rsid w:val="00096902"/>
    <w:rsid w:val="000A0BA2"/>
    <w:rsid w:val="000A1669"/>
    <w:rsid w:val="000A30F6"/>
    <w:rsid w:val="000A36DB"/>
    <w:rsid w:val="000A3DCA"/>
    <w:rsid w:val="000A5239"/>
    <w:rsid w:val="000A7E1F"/>
    <w:rsid w:val="000B0092"/>
    <w:rsid w:val="000B124B"/>
    <w:rsid w:val="000B262B"/>
    <w:rsid w:val="000B28B1"/>
    <w:rsid w:val="000B455F"/>
    <w:rsid w:val="000B5077"/>
    <w:rsid w:val="000B5843"/>
    <w:rsid w:val="000C33B4"/>
    <w:rsid w:val="000C3C9A"/>
    <w:rsid w:val="000C3D42"/>
    <w:rsid w:val="000C4B67"/>
    <w:rsid w:val="000C4D1C"/>
    <w:rsid w:val="000C764D"/>
    <w:rsid w:val="000D041B"/>
    <w:rsid w:val="000D1164"/>
    <w:rsid w:val="000D172C"/>
    <w:rsid w:val="000D1F47"/>
    <w:rsid w:val="000D5354"/>
    <w:rsid w:val="000D56CA"/>
    <w:rsid w:val="000E152C"/>
    <w:rsid w:val="000E2052"/>
    <w:rsid w:val="000E3212"/>
    <w:rsid w:val="000E4A7C"/>
    <w:rsid w:val="000E5A71"/>
    <w:rsid w:val="000F0AFC"/>
    <w:rsid w:val="000F0F45"/>
    <w:rsid w:val="000F1303"/>
    <w:rsid w:val="000F3020"/>
    <w:rsid w:val="000F3750"/>
    <w:rsid w:val="000F50B0"/>
    <w:rsid w:val="000F6741"/>
    <w:rsid w:val="000F79B1"/>
    <w:rsid w:val="001007E9"/>
    <w:rsid w:val="00102F05"/>
    <w:rsid w:val="001070BE"/>
    <w:rsid w:val="001075CA"/>
    <w:rsid w:val="00110581"/>
    <w:rsid w:val="00111BA9"/>
    <w:rsid w:val="00112357"/>
    <w:rsid w:val="00112E2C"/>
    <w:rsid w:val="001136D3"/>
    <w:rsid w:val="0011431E"/>
    <w:rsid w:val="0011645C"/>
    <w:rsid w:val="00120257"/>
    <w:rsid w:val="00123204"/>
    <w:rsid w:val="001241C7"/>
    <w:rsid w:val="00126AA9"/>
    <w:rsid w:val="001273EF"/>
    <w:rsid w:val="001313A9"/>
    <w:rsid w:val="00131E1A"/>
    <w:rsid w:val="001416D1"/>
    <w:rsid w:val="00142921"/>
    <w:rsid w:val="0014393B"/>
    <w:rsid w:val="00143EEF"/>
    <w:rsid w:val="00144098"/>
    <w:rsid w:val="001457D2"/>
    <w:rsid w:val="00146992"/>
    <w:rsid w:val="00146D81"/>
    <w:rsid w:val="00146F10"/>
    <w:rsid w:val="00150CE9"/>
    <w:rsid w:val="00152F9C"/>
    <w:rsid w:val="00154085"/>
    <w:rsid w:val="00154A7F"/>
    <w:rsid w:val="00154AA3"/>
    <w:rsid w:val="0015556D"/>
    <w:rsid w:val="001560EA"/>
    <w:rsid w:val="00163175"/>
    <w:rsid w:val="00164343"/>
    <w:rsid w:val="0016526C"/>
    <w:rsid w:val="00165437"/>
    <w:rsid w:val="0016611D"/>
    <w:rsid w:val="00166527"/>
    <w:rsid w:val="0016773C"/>
    <w:rsid w:val="00170152"/>
    <w:rsid w:val="0017033E"/>
    <w:rsid w:val="00172216"/>
    <w:rsid w:val="001725A5"/>
    <w:rsid w:val="00175016"/>
    <w:rsid w:val="00180392"/>
    <w:rsid w:val="001810B0"/>
    <w:rsid w:val="00183628"/>
    <w:rsid w:val="00183AB0"/>
    <w:rsid w:val="0018424B"/>
    <w:rsid w:val="00186C05"/>
    <w:rsid w:val="001901F0"/>
    <w:rsid w:val="0019043F"/>
    <w:rsid w:val="00190A6B"/>
    <w:rsid w:val="00190A7F"/>
    <w:rsid w:val="00191D2C"/>
    <w:rsid w:val="00192562"/>
    <w:rsid w:val="00195524"/>
    <w:rsid w:val="00195C55"/>
    <w:rsid w:val="00197F3C"/>
    <w:rsid w:val="001A047B"/>
    <w:rsid w:val="001A1349"/>
    <w:rsid w:val="001A1709"/>
    <w:rsid w:val="001A2A59"/>
    <w:rsid w:val="001B093F"/>
    <w:rsid w:val="001B26F5"/>
    <w:rsid w:val="001B2B49"/>
    <w:rsid w:val="001B4E18"/>
    <w:rsid w:val="001B60B6"/>
    <w:rsid w:val="001B61D1"/>
    <w:rsid w:val="001B6B8E"/>
    <w:rsid w:val="001B7027"/>
    <w:rsid w:val="001B75A5"/>
    <w:rsid w:val="001B7BE8"/>
    <w:rsid w:val="001C2296"/>
    <w:rsid w:val="001C45A2"/>
    <w:rsid w:val="001C4CC0"/>
    <w:rsid w:val="001C732F"/>
    <w:rsid w:val="001C7604"/>
    <w:rsid w:val="001D2815"/>
    <w:rsid w:val="001D305C"/>
    <w:rsid w:val="001D387C"/>
    <w:rsid w:val="001D4723"/>
    <w:rsid w:val="001D76D7"/>
    <w:rsid w:val="001E1C89"/>
    <w:rsid w:val="001E31FE"/>
    <w:rsid w:val="001E5EC5"/>
    <w:rsid w:val="001E61DB"/>
    <w:rsid w:val="001F04BC"/>
    <w:rsid w:val="001F06E7"/>
    <w:rsid w:val="001F24BB"/>
    <w:rsid w:val="001F576B"/>
    <w:rsid w:val="00200A4B"/>
    <w:rsid w:val="00201223"/>
    <w:rsid w:val="002024D6"/>
    <w:rsid w:val="00204A4C"/>
    <w:rsid w:val="00205E88"/>
    <w:rsid w:val="00205F73"/>
    <w:rsid w:val="00210226"/>
    <w:rsid w:val="00210B1A"/>
    <w:rsid w:val="00212C9C"/>
    <w:rsid w:val="00213012"/>
    <w:rsid w:val="0021445F"/>
    <w:rsid w:val="00215141"/>
    <w:rsid w:val="0022065A"/>
    <w:rsid w:val="0022169E"/>
    <w:rsid w:val="00222739"/>
    <w:rsid w:val="00224AF3"/>
    <w:rsid w:val="00226380"/>
    <w:rsid w:val="00226A01"/>
    <w:rsid w:val="0022717A"/>
    <w:rsid w:val="00227A20"/>
    <w:rsid w:val="00232017"/>
    <w:rsid w:val="00232B1D"/>
    <w:rsid w:val="00235E5A"/>
    <w:rsid w:val="002370F2"/>
    <w:rsid w:val="0023751E"/>
    <w:rsid w:val="00245CCE"/>
    <w:rsid w:val="00247B7B"/>
    <w:rsid w:val="00250FB8"/>
    <w:rsid w:val="00251546"/>
    <w:rsid w:val="002528B2"/>
    <w:rsid w:val="00252E20"/>
    <w:rsid w:val="00256620"/>
    <w:rsid w:val="00256E43"/>
    <w:rsid w:val="00257577"/>
    <w:rsid w:val="00260BFC"/>
    <w:rsid w:val="00261D53"/>
    <w:rsid w:val="00262C33"/>
    <w:rsid w:val="0026349C"/>
    <w:rsid w:val="00263572"/>
    <w:rsid w:val="00263CCD"/>
    <w:rsid w:val="00264C10"/>
    <w:rsid w:val="00265109"/>
    <w:rsid w:val="00270554"/>
    <w:rsid w:val="0027114E"/>
    <w:rsid w:val="00271505"/>
    <w:rsid w:val="0027360D"/>
    <w:rsid w:val="00273A16"/>
    <w:rsid w:val="00274F3A"/>
    <w:rsid w:val="0027509C"/>
    <w:rsid w:val="002754F8"/>
    <w:rsid w:val="00281881"/>
    <w:rsid w:val="00284746"/>
    <w:rsid w:val="002847A4"/>
    <w:rsid w:val="002849BC"/>
    <w:rsid w:val="002857D8"/>
    <w:rsid w:val="00285C32"/>
    <w:rsid w:val="00290785"/>
    <w:rsid w:val="002948C6"/>
    <w:rsid w:val="00294F4F"/>
    <w:rsid w:val="00296A9E"/>
    <w:rsid w:val="00296D64"/>
    <w:rsid w:val="002A1F79"/>
    <w:rsid w:val="002A211F"/>
    <w:rsid w:val="002A36E7"/>
    <w:rsid w:val="002A5CC4"/>
    <w:rsid w:val="002B1831"/>
    <w:rsid w:val="002B2460"/>
    <w:rsid w:val="002B3AD4"/>
    <w:rsid w:val="002B3D2E"/>
    <w:rsid w:val="002B3EF5"/>
    <w:rsid w:val="002C3BB4"/>
    <w:rsid w:val="002C4EEF"/>
    <w:rsid w:val="002C67DF"/>
    <w:rsid w:val="002C70B9"/>
    <w:rsid w:val="002D047E"/>
    <w:rsid w:val="002D2C58"/>
    <w:rsid w:val="002D2F07"/>
    <w:rsid w:val="002D3651"/>
    <w:rsid w:val="002D4381"/>
    <w:rsid w:val="002D6C8D"/>
    <w:rsid w:val="002D7BC0"/>
    <w:rsid w:val="002E1C82"/>
    <w:rsid w:val="002E30DE"/>
    <w:rsid w:val="002E4480"/>
    <w:rsid w:val="002E4893"/>
    <w:rsid w:val="002E605E"/>
    <w:rsid w:val="002E73DD"/>
    <w:rsid w:val="002F19F4"/>
    <w:rsid w:val="002F1CCC"/>
    <w:rsid w:val="002F2607"/>
    <w:rsid w:val="002F3C4B"/>
    <w:rsid w:val="002F4500"/>
    <w:rsid w:val="002F564F"/>
    <w:rsid w:val="002F66EA"/>
    <w:rsid w:val="002F68FA"/>
    <w:rsid w:val="002F7DF0"/>
    <w:rsid w:val="00302C00"/>
    <w:rsid w:val="00306BEB"/>
    <w:rsid w:val="00310524"/>
    <w:rsid w:val="00312021"/>
    <w:rsid w:val="003144ED"/>
    <w:rsid w:val="00314E1C"/>
    <w:rsid w:val="00316E05"/>
    <w:rsid w:val="003203B7"/>
    <w:rsid w:val="003213BE"/>
    <w:rsid w:val="00323058"/>
    <w:rsid w:val="00323A3F"/>
    <w:rsid w:val="00323BAA"/>
    <w:rsid w:val="00324003"/>
    <w:rsid w:val="003246F5"/>
    <w:rsid w:val="003267BC"/>
    <w:rsid w:val="00326AB6"/>
    <w:rsid w:val="00327161"/>
    <w:rsid w:val="00330EA7"/>
    <w:rsid w:val="003325C9"/>
    <w:rsid w:val="00332874"/>
    <w:rsid w:val="00337108"/>
    <w:rsid w:val="00337123"/>
    <w:rsid w:val="00340136"/>
    <w:rsid w:val="00344821"/>
    <w:rsid w:val="00352EB3"/>
    <w:rsid w:val="003534EB"/>
    <w:rsid w:val="00353F60"/>
    <w:rsid w:val="003568DE"/>
    <w:rsid w:val="003574F2"/>
    <w:rsid w:val="0035770C"/>
    <w:rsid w:val="00357A95"/>
    <w:rsid w:val="00357F45"/>
    <w:rsid w:val="00360186"/>
    <w:rsid w:val="003616F1"/>
    <w:rsid w:val="0036296D"/>
    <w:rsid w:val="00363020"/>
    <w:rsid w:val="00363685"/>
    <w:rsid w:val="00365EC1"/>
    <w:rsid w:val="00367531"/>
    <w:rsid w:val="00367598"/>
    <w:rsid w:val="0037070E"/>
    <w:rsid w:val="003721F0"/>
    <w:rsid w:val="0037578A"/>
    <w:rsid w:val="00380695"/>
    <w:rsid w:val="00380BF8"/>
    <w:rsid w:val="00382985"/>
    <w:rsid w:val="00385864"/>
    <w:rsid w:val="00386AEE"/>
    <w:rsid w:val="00394334"/>
    <w:rsid w:val="00394680"/>
    <w:rsid w:val="00396BD4"/>
    <w:rsid w:val="003A0691"/>
    <w:rsid w:val="003A11D5"/>
    <w:rsid w:val="003A210E"/>
    <w:rsid w:val="003A3705"/>
    <w:rsid w:val="003A3828"/>
    <w:rsid w:val="003A4FA9"/>
    <w:rsid w:val="003A543F"/>
    <w:rsid w:val="003A576F"/>
    <w:rsid w:val="003A7EBD"/>
    <w:rsid w:val="003A7FA7"/>
    <w:rsid w:val="003B3568"/>
    <w:rsid w:val="003B37D9"/>
    <w:rsid w:val="003B4398"/>
    <w:rsid w:val="003B4BAE"/>
    <w:rsid w:val="003B637D"/>
    <w:rsid w:val="003B7C2C"/>
    <w:rsid w:val="003B7CAC"/>
    <w:rsid w:val="003C6E86"/>
    <w:rsid w:val="003D0365"/>
    <w:rsid w:val="003D12ED"/>
    <w:rsid w:val="003D1CC4"/>
    <w:rsid w:val="003D32E4"/>
    <w:rsid w:val="003D36C7"/>
    <w:rsid w:val="003D4A17"/>
    <w:rsid w:val="003D6EC3"/>
    <w:rsid w:val="003D7EBF"/>
    <w:rsid w:val="003E0983"/>
    <w:rsid w:val="003E2165"/>
    <w:rsid w:val="003E2C62"/>
    <w:rsid w:val="003E4847"/>
    <w:rsid w:val="003E4FE2"/>
    <w:rsid w:val="003E5FAA"/>
    <w:rsid w:val="003E6B00"/>
    <w:rsid w:val="003E748A"/>
    <w:rsid w:val="003F004B"/>
    <w:rsid w:val="003F24A5"/>
    <w:rsid w:val="003F2625"/>
    <w:rsid w:val="003F5A94"/>
    <w:rsid w:val="003F5E6F"/>
    <w:rsid w:val="003F6AC8"/>
    <w:rsid w:val="003F78FB"/>
    <w:rsid w:val="00401690"/>
    <w:rsid w:val="00402DB7"/>
    <w:rsid w:val="00404033"/>
    <w:rsid w:val="00404616"/>
    <w:rsid w:val="00406A0A"/>
    <w:rsid w:val="0041019E"/>
    <w:rsid w:val="00411587"/>
    <w:rsid w:val="0041185A"/>
    <w:rsid w:val="00411A35"/>
    <w:rsid w:val="00412330"/>
    <w:rsid w:val="00414DD0"/>
    <w:rsid w:val="004159FA"/>
    <w:rsid w:val="00416600"/>
    <w:rsid w:val="00416F52"/>
    <w:rsid w:val="00417293"/>
    <w:rsid w:val="004200EC"/>
    <w:rsid w:val="004220A7"/>
    <w:rsid w:val="0042316E"/>
    <w:rsid w:val="0042418D"/>
    <w:rsid w:val="00424AAF"/>
    <w:rsid w:val="00424B7A"/>
    <w:rsid w:val="00425596"/>
    <w:rsid w:val="00425E15"/>
    <w:rsid w:val="00426FC5"/>
    <w:rsid w:val="00427C06"/>
    <w:rsid w:val="0043013F"/>
    <w:rsid w:val="004312D0"/>
    <w:rsid w:val="00432B4B"/>
    <w:rsid w:val="00434766"/>
    <w:rsid w:val="0044070D"/>
    <w:rsid w:val="00440C73"/>
    <w:rsid w:val="00445B5D"/>
    <w:rsid w:val="00447E60"/>
    <w:rsid w:val="004505C4"/>
    <w:rsid w:val="00451030"/>
    <w:rsid w:val="004527B7"/>
    <w:rsid w:val="00452F27"/>
    <w:rsid w:val="0045384D"/>
    <w:rsid w:val="004545B2"/>
    <w:rsid w:val="004548D5"/>
    <w:rsid w:val="004552BF"/>
    <w:rsid w:val="004557E1"/>
    <w:rsid w:val="0045598B"/>
    <w:rsid w:val="00456444"/>
    <w:rsid w:val="00456CCB"/>
    <w:rsid w:val="004570C6"/>
    <w:rsid w:val="00457430"/>
    <w:rsid w:val="0045795E"/>
    <w:rsid w:val="00460FF6"/>
    <w:rsid w:val="00461579"/>
    <w:rsid w:val="00461629"/>
    <w:rsid w:val="00462639"/>
    <w:rsid w:val="00462926"/>
    <w:rsid w:val="00462F9A"/>
    <w:rsid w:val="00463516"/>
    <w:rsid w:val="00464F80"/>
    <w:rsid w:val="0047008B"/>
    <w:rsid w:val="00470232"/>
    <w:rsid w:val="00470870"/>
    <w:rsid w:val="00472F6E"/>
    <w:rsid w:val="00473C23"/>
    <w:rsid w:val="004742A2"/>
    <w:rsid w:val="004748D4"/>
    <w:rsid w:val="004758BC"/>
    <w:rsid w:val="004808FD"/>
    <w:rsid w:val="00481780"/>
    <w:rsid w:val="00482972"/>
    <w:rsid w:val="00483B80"/>
    <w:rsid w:val="00483C05"/>
    <w:rsid w:val="00486237"/>
    <w:rsid w:val="0048683A"/>
    <w:rsid w:val="004868F7"/>
    <w:rsid w:val="00490CB6"/>
    <w:rsid w:val="00493273"/>
    <w:rsid w:val="004933BD"/>
    <w:rsid w:val="004935AB"/>
    <w:rsid w:val="00495043"/>
    <w:rsid w:val="004A0D9B"/>
    <w:rsid w:val="004A1F76"/>
    <w:rsid w:val="004A31C0"/>
    <w:rsid w:val="004A454E"/>
    <w:rsid w:val="004A6875"/>
    <w:rsid w:val="004A6BF1"/>
    <w:rsid w:val="004B2BF7"/>
    <w:rsid w:val="004B3C2D"/>
    <w:rsid w:val="004B710D"/>
    <w:rsid w:val="004B75F3"/>
    <w:rsid w:val="004C0138"/>
    <w:rsid w:val="004C2438"/>
    <w:rsid w:val="004C25DF"/>
    <w:rsid w:val="004C337B"/>
    <w:rsid w:val="004C3A18"/>
    <w:rsid w:val="004C6997"/>
    <w:rsid w:val="004D03C5"/>
    <w:rsid w:val="004D51DE"/>
    <w:rsid w:val="004D7214"/>
    <w:rsid w:val="004E1B86"/>
    <w:rsid w:val="004E32EC"/>
    <w:rsid w:val="004E3DDE"/>
    <w:rsid w:val="004E48EB"/>
    <w:rsid w:val="004E5515"/>
    <w:rsid w:val="004F0D05"/>
    <w:rsid w:val="004F2702"/>
    <w:rsid w:val="004F2816"/>
    <w:rsid w:val="004F28C6"/>
    <w:rsid w:val="004F4F23"/>
    <w:rsid w:val="004F79D9"/>
    <w:rsid w:val="004F7EEC"/>
    <w:rsid w:val="0050613B"/>
    <w:rsid w:val="005067D3"/>
    <w:rsid w:val="00515185"/>
    <w:rsid w:val="005151AD"/>
    <w:rsid w:val="00515519"/>
    <w:rsid w:val="00516895"/>
    <w:rsid w:val="00516D26"/>
    <w:rsid w:val="00521601"/>
    <w:rsid w:val="00523479"/>
    <w:rsid w:val="005255D9"/>
    <w:rsid w:val="00525A09"/>
    <w:rsid w:val="00525CE6"/>
    <w:rsid w:val="00527201"/>
    <w:rsid w:val="005317C5"/>
    <w:rsid w:val="00531BDF"/>
    <w:rsid w:val="00533B3F"/>
    <w:rsid w:val="00533B5F"/>
    <w:rsid w:val="00535608"/>
    <w:rsid w:val="005362E1"/>
    <w:rsid w:val="0053750D"/>
    <w:rsid w:val="00540EA9"/>
    <w:rsid w:val="005423B9"/>
    <w:rsid w:val="005424A7"/>
    <w:rsid w:val="005430D6"/>
    <w:rsid w:val="0054466A"/>
    <w:rsid w:val="00545234"/>
    <w:rsid w:val="00547B02"/>
    <w:rsid w:val="00554605"/>
    <w:rsid w:val="005554FC"/>
    <w:rsid w:val="00555CF6"/>
    <w:rsid w:val="005564E5"/>
    <w:rsid w:val="0055783B"/>
    <w:rsid w:val="00557957"/>
    <w:rsid w:val="00560724"/>
    <w:rsid w:val="00561784"/>
    <w:rsid w:val="00561A08"/>
    <w:rsid w:val="00562429"/>
    <w:rsid w:val="005642AA"/>
    <w:rsid w:val="00564B0A"/>
    <w:rsid w:val="00564B65"/>
    <w:rsid w:val="00566320"/>
    <w:rsid w:val="00567234"/>
    <w:rsid w:val="00567360"/>
    <w:rsid w:val="00567511"/>
    <w:rsid w:val="00567E69"/>
    <w:rsid w:val="0057031A"/>
    <w:rsid w:val="00570D1C"/>
    <w:rsid w:val="0057178D"/>
    <w:rsid w:val="00571F2C"/>
    <w:rsid w:val="00575CDE"/>
    <w:rsid w:val="00576578"/>
    <w:rsid w:val="00576857"/>
    <w:rsid w:val="00583055"/>
    <w:rsid w:val="00583F03"/>
    <w:rsid w:val="00587089"/>
    <w:rsid w:val="00590BD3"/>
    <w:rsid w:val="00590C33"/>
    <w:rsid w:val="00591519"/>
    <w:rsid w:val="00591D20"/>
    <w:rsid w:val="00595414"/>
    <w:rsid w:val="005A0A9D"/>
    <w:rsid w:val="005A1DAF"/>
    <w:rsid w:val="005A2AD3"/>
    <w:rsid w:val="005A3D07"/>
    <w:rsid w:val="005A7129"/>
    <w:rsid w:val="005A72C1"/>
    <w:rsid w:val="005B06F1"/>
    <w:rsid w:val="005B0718"/>
    <w:rsid w:val="005B0E0C"/>
    <w:rsid w:val="005B31C7"/>
    <w:rsid w:val="005B57A6"/>
    <w:rsid w:val="005B5E5D"/>
    <w:rsid w:val="005B6B5E"/>
    <w:rsid w:val="005B7939"/>
    <w:rsid w:val="005C15FA"/>
    <w:rsid w:val="005C16F5"/>
    <w:rsid w:val="005C1BFE"/>
    <w:rsid w:val="005C2682"/>
    <w:rsid w:val="005D3A84"/>
    <w:rsid w:val="005D3DA3"/>
    <w:rsid w:val="005D6267"/>
    <w:rsid w:val="005E028B"/>
    <w:rsid w:val="005E0E91"/>
    <w:rsid w:val="005E42A0"/>
    <w:rsid w:val="005E5A50"/>
    <w:rsid w:val="005E65AC"/>
    <w:rsid w:val="005F13F9"/>
    <w:rsid w:val="005F26E3"/>
    <w:rsid w:val="005F37E0"/>
    <w:rsid w:val="005F43BD"/>
    <w:rsid w:val="005F450F"/>
    <w:rsid w:val="005F45F8"/>
    <w:rsid w:val="005F5A72"/>
    <w:rsid w:val="005F5EE7"/>
    <w:rsid w:val="005F6B99"/>
    <w:rsid w:val="005F6C37"/>
    <w:rsid w:val="006023E6"/>
    <w:rsid w:val="006031AC"/>
    <w:rsid w:val="00603AA8"/>
    <w:rsid w:val="00604004"/>
    <w:rsid w:val="006045E2"/>
    <w:rsid w:val="00604876"/>
    <w:rsid w:val="00605982"/>
    <w:rsid w:val="0060761A"/>
    <w:rsid w:val="00607D1A"/>
    <w:rsid w:val="006112C4"/>
    <w:rsid w:val="00612CE5"/>
    <w:rsid w:val="00613193"/>
    <w:rsid w:val="006142D1"/>
    <w:rsid w:val="0061704F"/>
    <w:rsid w:val="00617D55"/>
    <w:rsid w:val="00621013"/>
    <w:rsid w:val="00622455"/>
    <w:rsid w:val="00622B30"/>
    <w:rsid w:val="006238B5"/>
    <w:rsid w:val="00624AF9"/>
    <w:rsid w:val="00626515"/>
    <w:rsid w:val="0062676E"/>
    <w:rsid w:val="00626B37"/>
    <w:rsid w:val="00627CB3"/>
    <w:rsid w:val="00627EA2"/>
    <w:rsid w:val="00630351"/>
    <w:rsid w:val="006320E2"/>
    <w:rsid w:val="00632DC0"/>
    <w:rsid w:val="00636B94"/>
    <w:rsid w:val="00636DF7"/>
    <w:rsid w:val="00636F20"/>
    <w:rsid w:val="0064152E"/>
    <w:rsid w:val="0064185F"/>
    <w:rsid w:val="006425DC"/>
    <w:rsid w:val="006425DF"/>
    <w:rsid w:val="00644D03"/>
    <w:rsid w:val="00645E9D"/>
    <w:rsid w:val="0065051D"/>
    <w:rsid w:val="00650C07"/>
    <w:rsid w:val="00651D16"/>
    <w:rsid w:val="0065217D"/>
    <w:rsid w:val="006546A7"/>
    <w:rsid w:val="00654F36"/>
    <w:rsid w:val="006562D5"/>
    <w:rsid w:val="006565FD"/>
    <w:rsid w:val="00660537"/>
    <w:rsid w:val="00660D4B"/>
    <w:rsid w:val="00661B84"/>
    <w:rsid w:val="00665EB3"/>
    <w:rsid w:val="00666320"/>
    <w:rsid w:val="00666D40"/>
    <w:rsid w:val="00666FBC"/>
    <w:rsid w:val="00667D78"/>
    <w:rsid w:val="00670F7E"/>
    <w:rsid w:val="00671FCC"/>
    <w:rsid w:val="00672D5C"/>
    <w:rsid w:val="00673B31"/>
    <w:rsid w:val="00673F68"/>
    <w:rsid w:val="0067499C"/>
    <w:rsid w:val="00676B88"/>
    <w:rsid w:val="006807FB"/>
    <w:rsid w:val="006846A3"/>
    <w:rsid w:val="00690743"/>
    <w:rsid w:val="006937F0"/>
    <w:rsid w:val="00693EB8"/>
    <w:rsid w:val="00693EFE"/>
    <w:rsid w:val="00693FCC"/>
    <w:rsid w:val="00694148"/>
    <w:rsid w:val="006960B2"/>
    <w:rsid w:val="00696BEB"/>
    <w:rsid w:val="00697432"/>
    <w:rsid w:val="006A07C3"/>
    <w:rsid w:val="006A11F8"/>
    <w:rsid w:val="006A1C48"/>
    <w:rsid w:val="006A389C"/>
    <w:rsid w:val="006A5A7B"/>
    <w:rsid w:val="006A79B0"/>
    <w:rsid w:val="006B051C"/>
    <w:rsid w:val="006B0E5D"/>
    <w:rsid w:val="006B158E"/>
    <w:rsid w:val="006B165A"/>
    <w:rsid w:val="006B1BBF"/>
    <w:rsid w:val="006B2C5A"/>
    <w:rsid w:val="006B433F"/>
    <w:rsid w:val="006B467C"/>
    <w:rsid w:val="006B6993"/>
    <w:rsid w:val="006B7444"/>
    <w:rsid w:val="006C09B3"/>
    <w:rsid w:val="006C0B81"/>
    <w:rsid w:val="006C2D34"/>
    <w:rsid w:val="006C34FC"/>
    <w:rsid w:val="006C3787"/>
    <w:rsid w:val="006C6CCF"/>
    <w:rsid w:val="006D47C0"/>
    <w:rsid w:val="006D64C3"/>
    <w:rsid w:val="006D6959"/>
    <w:rsid w:val="006D799D"/>
    <w:rsid w:val="006E131D"/>
    <w:rsid w:val="006E168B"/>
    <w:rsid w:val="006E1AC8"/>
    <w:rsid w:val="006E2B89"/>
    <w:rsid w:val="006E2F5B"/>
    <w:rsid w:val="006E3240"/>
    <w:rsid w:val="006E4042"/>
    <w:rsid w:val="006E449D"/>
    <w:rsid w:val="006E5193"/>
    <w:rsid w:val="006E7AF9"/>
    <w:rsid w:val="006F0282"/>
    <w:rsid w:val="006F1447"/>
    <w:rsid w:val="006F2FFC"/>
    <w:rsid w:val="006F349F"/>
    <w:rsid w:val="006F3B1E"/>
    <w:rsid w:val="006F453B"/>
    <w:rsid w:val="006F4E31"/>
    <w:rsid w:val="006F744A"/>
    <w:rsid w:val="007026C6"/>
    <w:rsid w:val="00703ACF"/>
    <w:rsid w:val="00703C32"/>
    <w:rsid w:val="00707B0D"/>
    <w:rsid w:val="00710F43"/>
    <w:rsid w:val="00713AB7"/>
    <w:rsid w:val="0071456C"/>
    <w:rsid w:val="00715634"/>
    <w:rsid w:val="007156AF"/>
    <w:rsid w:val="007202CF"/>
    <w:rsid w:val="00721C60"/>
    <w:rsid w:val="00722BFC"/>
    <w:rsid w:val="00722C65"/>
    <w:rsid w:val="007234E5"/>
    <w:rsid w:val="00723F78"/>
    <w:rsid w:val="00724555"/>
    <w:rsid w:val="007254B2"/>
    <w:rsid w:val="007344E2"/>
    <w:rsid w:val="00734A93"/>
    <w:rsid w:val="007361EA"/>
    <w:rsid w:val="00737433"/>
    <w:rsid w:val="00741034"/>
    <w:rsid w:val="00744FB6"/>
    <w:rsid w:val="00746CCA"/>
    <w:rsid w:val="00750DBC"/>
    <w:rsid w:val="00750FAD"/>
    <w:rsid w:val="007515BE"/>
    <w:rsid w:val="0075210C"/>
    <w:rsid w:val="00752DE3"/>
    <w:rsid w:val="00753EC1"/>
    <w:rsid w:val="007549A8"/>
    <w:rsid w:val="007551A3"/>
    <w:rsid w:val="00755853"/>
    <w:rsid w:val="0075603D"/>
    <w:rsid w:val="00756146"/>
    <w:rsid w:val="00756FE2"/>
    <w:rsid w:val="007606B8"/>
    <w:rsid w:val="0076258B"/>
    <w:rsid w:val="00762E3A"/>
    <w:rsid w:val="00762EF3"/>
    <w:rsid w:val="00763A8A"/>
    <w:rsid w:val="00764054"/>
    <w:rsid w:val="00764387"/>
    <w:rsid w:val="00765CC9"/>
    <w:rsid w:val="00767254"/>
    <w:rsid w:val="0076728C"/>
    <w:rsid w:val="00767E1E"/>
    <w:rsid w:val="007714C1"/>
    <w:rsid w:val="007729C3"/>
    <w:rsid w:val="007747F0"/>
    <w:rsid w:val="007758E5"/>
    <w:rsid w:val="007760AE"/>
    <w:rsid w:val="00777600"/>
    <w:rsid w:val="00777CB9"/>
    <w:rsid w:val="00781184"/>
    <w:rsid w:val="00782174"/>
    <w:rsid w:val="00782DBD"/>
    <w:rsid w:val="007832DA"/>
    <w:rsid w:val="00784A3B"/>
    <w:rsid w:val="00787A64"/>
    <w:rsid w:val="00790978"/>
    <w:rsid w:val="00792758"/>
    <w:rsid w:val="0079304E"/>
    <w:rsid w:val="00794E41"/>
    <w:rsid w:val="0079575C"/>
    <w:rsid w:val="007A13F7"/>
    <w:rsid w:val="007A1592"/>
    <w:rsid w:val="007A1851"/>
    <w:rsid w:val="007A1DE8"/>
    <w:rsid w:val="007A24C0"/>
    <w:rsid w:val="007A286D"/>
    <w:rsid w:val="007A389D"/>
    <w:rsid w:val="007A4340"/>
    <w:rsid w:val="007A4D58"/>
    <w:rsid w:val="007A5880"/>
    <w:rsid w:val="007A64B8"/>
    <w:rsid w:val="007A74E2"/>
    <w:rsid w:val="007A769C"/>
    <w:rsid w:val="007A7C33"/>
    <w:rsid w:val="007B26B7"/>
    <w:rsid w:val="007C1707"/>
    <w:rsid w:val="007C2B7B"/>
    <w:rsid w:val="007C333A"/>
    <w:rsid w:val="007C40B7"/>
    <w:rsid w:val="007C5AAF"/>
    <w:rsid w:val="007C7584"/>
    <w:rsid w:val="007D02EC"/>
    <w:rsid w:val="007D0AC8"/>
    <w:rsid w:val="007D0B52"/>
    <w:rsid w:val="007D3687"/>
    <w:rsid w:val="007D47B4"/>
    <w:rsid w:val="007D5133"/>
    <w:rsid w:val="007D52D7"/>
    <w:rsid w:val="007D59A7"/>
    <w:rsid w:val="007D6577"/>
    <w:rsid w:val="007D7AD5"/>
    <w:rsid w:val="007E038F"/>
    <w:rsid w:val="007E0B3C"/>
    <w:rsid w:val="007E30AE"/>
    <w:rsid w:val="007E327C"/>
    <w:rsid w:val="007E4360"/>
    <w:rsid w:val="007E45D5"/>
    <w:rsid w:val="007E6787"/>
    <w:rsid w:val="007F2EDD"/>
    <w:rsid w:val="007F31A7"/>
    <w:rsid w:val="007F3EF6"/>
    <w:rsid w:val="007F3F92"/>
    <w:rsid w:val="007F6A80"/>
    <w:rsid w:val="007F6E99"/>
    <w:rsid w:val="007F7FE4"/>
    <w:rsid w:val="0080448A"/>
    <w:rsid w:val="008052EC"/>
    <w:rsid w:val="008055A1"/>
    <w:rsid w:val="00806E3F"/>
    <w:rsid w:val="00807BA8"/>
    <w:rsid w:val="008144C6"/>
    <w:rsid w:val="00814975"/>
    <w:rsid w:val="00814F60"/>
    <w:rsid w:val="00816747"/>
    <w:rsid w:val="00817842"/>
    <w:rsid w:val="008216FB"/>
    <w:rsid w:val="00822FC7"/>
    <w:rsid w:val="00824669"/>
    <w:rsid w:val="00824885"/>
    <w:rsid w:val="00824AAD"/>
    <w:rsid w:val="008256EE"/>
    <w:rsid w:val="00826011"/>
    <w:rsid w:val="00831CF6"/>
    <w:rsid w:val="00836741"/>
    <w:rsid w:val="00837AB1"/>
    <w:rsid w:val="00837B59"/>
    <w:rsid w:val="0084008D"/>
    <w:rsid w:val="008407BC"/>
    <w:rsid w:val="00840AE3"/>
    <w:rsid w:val="00841987"/>
    <w:rsid w:val="0084239E"/>
    <w:rsid w:val="008432D8"/>
    <w:rsid w:val="0084527A"/>
    <w:rsid w:val="008456AA"/>
    <w:rsid w:val="00845A3E"/>
    <w:rsid w:val="008461B6"/>
    <w:rsid w:val="008464F5"/>
    <w:rsid w:val="00847276"/>
    <w:rsid w:val="00851F06"/>
    <w:rsid w:val="00852726"/>
    <w:rsid w:val="00852E94"/>
    <w:rsid w:val="00854F6F"/>
    <w:rsid w:val="00855FFF"/>
    <w:rsid w:val="00856F1D"/>
    <w:rsid w:val="00857274"/>
    <w:rsid w:val="008610C0"/>
    <w:rsid w:val="0086244B"/>
    <w:rsid w:val="00863910"/>
    <w:rsid w:val="0086605F"/>
    <w:rsid w:val="0086770B"/>
    <w:rsid w:val="00867B67"/>
    <w:rsid w:val="00870018"/>
    <w:rsid w:val="00870311"/>
    <w:rsid w:val="00872C1A"/>
    <w:rsid w:val="00872DC1"/>
    <w:rsid w:val="0087357F"/>
    <w:rsid w:val="00873855"/>
    <w:rsid w:val="008744F4"/>
    <w:rsid w:val="00880652"/>
    <w:rsid w:val="00881E49"/>
    <w:rsid w:val="0088228E"/>
    <w:rsid w:val="00884B3B"/>
    <w:rsid w:val="00884F85"/>
    <w:rsid w:val="00890D76"/>
    <w:rsid w:val="0089198E"/>
    <w:rsid w:val="00891E24"/>
    <w:rsid w:val="00895634"/>
    <w:rsid w:val="00896137"/>
    <w:rsid w:val="00896930"/>
    <w:rsid w:val="00896B1B"/>
    <w:rsid w:val="00897231"/>
    <w:rsid w:val="008A13A6"/>
    <w:rsid w:val="008A14D5"/>
    <w:rsid w:val="008A1BE6"/>
    <w:rsid w:val="008A2F16"/>
    <w:rsid w:val="008A4637"/>
    <w:rsid w:val="008A5B7E"/>
    <w:rsid w:val="008A5EAD"/>
    <w:rsid w:val="008A74A9"/>
    <w:rsid w:val="008B0525"/>
    <w:rsid w:val="008B1F5F"/>
    <w:rsid w:val="008B2F3F"/>
    <w:rsid w:val="008B6B35"/>
    <w:rsid w:val="008C2BF9"/>
    <w:rsid w:val="008C393C"/>
    <w:rsid w:val="008C3D96"/>
    <w:rsid w:val="008C5196"/>
    <w:rsid w:val="008C67C0"/>
    <w:rsid w:val="008C77D9"/>
    <w:rsid w:val="008D3FD8"/>
    <w:rsid w:val="008D4A3A"/>
    <w:rsid w:val="008D70EA"/>
    <w:rsid w:val="008D778C"/>
    <w:rsid w:val="008E0B62"/>
    <w:rsid w:val="008E1902"/>
    <w:rsid w:val="008E4123"/>
    <w:rsid w:val="008E4F0D"/>
    <w:rsid w:val="008E638E"/>
    <w:rsid w:val="008F0E51"/>
    <w:rsid w:val="008F0FCF"/>
    <w:rsid w:val="008F1E4F"/>
    <w:rsid w:val="008F4A7C"/>
    <w:rsid w:val="008F5931"/>
    <w:rsid w:val="008F5D4F"/>
    <w:rsid w:val="008F6256"/>
    <w:rsid w:val="00901B98"/>
    <w:rsid w:val="00902E57"/>
    <w:rsid w:val="00902F15"/>
    <w:rsid w:val="009035AF"/>
    <w:rsid w:val="00904138"/>
    <w:rsid w:val="00905D11"/>
    <w:rsid w:val="00906836"/>
    <w:rsid w:val="00911612"/>
    <w:rsid w:val="009118EB"/>
    <w:rsid w:val="00911AA8"/>
    <w:rsid w:val="00911FBC"/>
    <w:rsid w:val="00913002"/>
    <w:rsid w:val="0091454B"/>
    <w:rsid w:val="00916572"/>
    <w:rsid w:val="00916BCC"/>
    <w:rsid w:val="00920468"/>
    <w:rsid w:val="00920B9A"/>
    <w:rsid w:val="00922DDF"/>
    <w:rsid w:val="00923336"/>
    <w:rsid w:val="00924669"/>
    <w:rsid w:val="009246A6"/>
    <w:rsid w:val="0092604F"/>
    <w:rsid w:val="009270B9"/>
    <w:rsid w:val="009272A2"/>
    <w:rsid w:val="00927D36"/>
    <w:rsid w:val="00930473"/>
    <w:rsid w:val="00930D5E"/>
    <w:rsid w:val="009327DE"/>
    <w:rsid w:val="00932991"/>
    <w:rsid w:val="00933525"/>
    <w:rsid w:val="0093428F"/>
    <w:rsid w:val="00935342"/>
    <w:rsid w:val="009378D3"/>
    <w:rsid w:val="009403F0"/>
    <w:rsid w:val="00942DCF"/>
    <w:rsid w:val="00943086"/>
    <w:rsid w:val="00943DAC"/>
    <w:rsid w:val="00943DD9"/>
    <w:rsid w:val="00943F7F"/>
    <w:rsid w:val="009466D0"/>
    <w:rsid w:val="0094747A"/>
    <w:rsid w:val="00952142"/>
    <w:rsid w:val="009529FC"/>
    <w:rsid w:val="00955AA0"/>
    <w:rsid w:val="00956303"/>
    <w:rsid w:val="00961823"/>
    <w:rsid w:val="00962E9E"/>
    <w:rsid w:val="00965E34"/>
    <w:rsid w:val="00966CD1"/>
    <w:rsid w:val="00966F0D"/>
    <w:rsid w:val="00967170"/>
    <w:rsid w:val="00970322"/>
    <w:rsid w:val="00970F44"/>
    <w:rsid w:val="0097303D"/>
    <w:rsid w:val="00974209"/>
    <w:rsid w:val="00974D64"/>
    <w:rsid w:val="00975AA6"/>
    <w:rsid w:val="00976211"/>
    <w:rsid w:val="009765BA"/>
    <w:rsid w:val="009765C4"/>
    <w:rsid w:val="00976EE6"/>
    <w:rsid w:val="00977855"/>
    <w:rsid w:val="00977BE3"/>
    <w:rsid w:val="009808E2"/>
    <w:rsid w:val="00980DEC"/>
    <w:rsid w:val="00980E63"/>
    <w:rsid w:val="009822B3"/>
    <w:rsid w:val="00982B65"/>
    <w:rsid w:val="00983602"/>
    <w:rsid w:val="00983771"/>
    <w:rsid w:val="009840C7"/>
    <w:rsid w:val="0098449B"/>
    <w:rsid w:val="00984612"/>
    <w:rsid w:val="009854F6"/>
    <w:rsid w:val="00985F58"/>
    <w:rsid w:val="009870B2"/>
    <w:rsid w:val="00991486"/>
    <w:rsid w:val="00993D2C"/>
    <w:rsid w:val="0099539F"/>
    <w:rsid w:val="009A1BB0"/>
    <w:rsid w:val="009A5A95"/>
    <w:rsid w:val="009A6F0B"/>
    <w:rsid w:val="009A7C22"/>
    <w:rsid w:val="009B15AD"/>
    <w:rsid w:val="009B65CA"/>
    <w:rsid w:val="009C0F5D"/>
    <w:rsid w:val="009C3E6F"/>
    <w:rsid w:val="009C47B6"/>
    <w:rsid w:val="009C5463"/>
    <w:rsid w:val="009C7156"/>
    <w:rsid w:val="009D015E"/>
    <w:rsid w:val="009D0237"/>
    <w:rsid w:val="009D3221"/>
    <w:rsid w:val="009D38CB"/>
    <w:rsid w:val="009D4083"/>
    <w:rsid w:val="009D4382"/>
    <w:rsid w:val="009D50C3"/>
    <w:rsid w:val="009D6210"/>
    <w:rsid w:val="009E06F4"/>
    <w:rsid w:val="009E0B96"/>
    <w:rsid w:val="009E0F94"/>
    <w:rsid w:val="009E0FE9"/>
    <w:rsid w:val="009E1BDA"/>
    <w:rsid w:val="009E2223"/>
    <w:rsid w:val="009E2573"/>
    <w:rsid w:val="009E3BE4"/>
    <w:rsid w:val="009E46BD"/>
    <w:rsid w:val="009E4C27"/>
    <w:rsid w:val="009F00AA"/>
    <w:rsid w:val="009F0205"/>
    <w:rsid w:val="009F0DF0"/>
    <w:rsid w:val="009F1C48"/>
    <w:rsid w:val="009F28B0"/>
    <w:rsid w:val="009F44B4"/>
    <w:rsid w:val="009F47FA"/>
    <w:rsid w:val="009F4A55"/>
    <w:rsid w:val="009F4DC1"/>
    <w:rsid w:val="009F63B2"/>
    <w:rsid w:val="009F6683"/>
    <w:rsid w:val="009F7952"/>
    <w:rsid w:val="00A0040C"/>
    <w:rsid w:val="00A023CF"/>
    <w:rsid w:val="00A028C2"/>
    <w:rsid w:val="00A07BB7"/>
    <w:rsid w:val="00A10383"/>
    <w:rsid w:val="00A10584"/>
    <w:rsid w:val="00A11B71"/>
    <w:rsid w:val="00A127C8"/>
    <w:rsid w:val="00A12D28"/>
    <w:rsid w:val="00A13835"/>
    <w:rsid w:val="00A138E3"/>
    <w:rsid w:val="00A15753"/>
    <w:rsid w:val="00A17428"/>
    <w:rsid w:val="00A20053"/>
    <w:rsid w:val="00A209A1"/>
    <w:rsid w:val="00A21332"/>
    <w:rsid w:val="00A23F44"/>
    <w:rsid w:val="00A25C20"/>
    <w:rsid w:val="00A27032"/>
    <w:rsid w:val="00A303E0"/>
    <w:rsid w:val="00A319E0"/>
    <w:rsid w:val="00A34E8D"/>
    <w:rsid w:val="00A35710"/>
    <w:rsid w:val="00A438FD"/>
    <w:rsid w:val="00A43BCA"/>
    <w:rsid w:val="00A44AFC"/>
    <w:rsid w:val="00A4552F"/>
    <w:rsid w:val="00A46B57"/>
    <w:rsid w:val="00A50095"/>
    <w:rsid w:val="00A514B4"/>
    <w:rsid w:val="00A51D48"/>
    <w:rsid w:val="00A5342E"/>
    <w:rsid w:val="00A547D7"/>
    <w:rsid w:val="00A54D56"/>
    <w:rsid w:val="00A56337"/>
    <w:rsid w:val="00A570E2"/>
    <w:rsid w:val="00A57166"/>
    <w:rsid w:val="00A57231"/>
    <w:rsid w:val="00A573FD"/>
    <w:rsid w:val="00A57721"/>
    <w:rsid w:val="00A577D3"/>
    <w:rsid w:val="00A60344"/>
    <w:rsid w:val="00A61CAC"/>
    <w:rsid w:val="00A62F4A"/>
    <w:rsid w:val="00A64F2D"/>
    <w:rsid w:val="00A65D97"/>
    <w:rsid w:val="00A66039"/>
    <w:rsid w:val="00A67F62"/>
    <w:rsid w:val="00A70049"/>
    <w:rsid w:val="00A72D17"/>
    <w:rsid w:val="00A73B5E"/>
    <w:rsid w:val="00A77B2B"/>
    <w:rsid w:val="00A80FA1"/>
    <w:rsid w:val="00A81C9C"/>
    <w:rsid w:val="00A85874"/>
    <w:rsid w:val="00A87B7D"/>
    <w:rsid w:val="00A903D0"/>
    <w:rsid w:val="00A91AFF"/>
    <w:rsid w:val="00A91FB6"/>
    <w:rsid w:val="00A93312"/>
    <w:rsid w:val="00A9560E"/>
    <w:rsid w:val="00A95EDE"/>
    <w:rsid w:val="00AA0276"/>
    <w:rsid w:val="00AA10BB"/>
    <w:rsid w:val="00AA4781"/>
    <w:rsid w:val="00AA5695"/>
    <w:rsid w:val="00AA6342"/>
    <w:rsid w:val="00AA6B4B"/>
    <w:rsid w:val="00AB4048"/>
    <w:rsid w:val="00AB44C5"/>
    <w:rsid w:val="00AB4B5D"/>
    <w:rsid w:val="00AB6237"/>
    <w:rsid w:val="00AB7636"/>
    <w:rsid w:val="00AC1AE3"/>
    <w:rsid w:val="00AC1B57"/>
    <w:rsid w:val="00AC2766"/>
    <w:rsid w:val="00AC5430"/>
    <w:rsid w:val="00AC5AD4"/>
    <w:rsid w:val="00AC6444"/>
    <w:rsid w:val="00AC71E7"/>
    <w:rsid w:val="00AC7E1B"/>
    <w:rsid w:val="00AD4F90"/>
    <w:rsid w:val="00AD658C"/>
    <w:rsid w:val="00AD67BE"/>
    <w:rsid w:val="00AE103C"/>
    <w:rsid w:val="00AE2235"/>
    <w:rsid w:val="00AE3227"/>
    <w:rsid w:val="00AE377E"/>
    <w:rsid w:val="00AE68AA"/>
    <w:rsid w:val="00AF128E"/>
    <w:rsid w:val="00AF1B9C"/>
    <w:rsid w:val="00AF1E55"/>
    <w:rsid w:val="00AF227E"/>
    <w:rsid w:val="00AF4D42"/>
    <w:rsid w:val="00AF58CC"/>
    <w:rsid w:val="00AF5B8A"/>
    <w:rsid w:val="00AF5CDC"/>
    <w:rsid w:val="00AF63BA"/>
    <w:rsid w:val="00AF7AE6"/>
    <w:rsid w:val="00B00BA5"/>
    <w:rsid w:val="00B01FE6"/>
    <w:rsid w:val="00B02850"/>
    <w:rsid w:val="00B0457C"/>
    <w:rsid w:val="00B04A43"/>
    <w:rsid w:val="00B0621C"/>
    <w:rsid w:val="00B10DD0"/>
    <w:rsid w:val="00B1235E"/>
    <w:rsid w:val="00B12EF2"/>
    <w:rsid w:val="00B13286"/>
    <w:rsid w:val="00B152D2"/>
    <w:rsid w:val="00B2102F"/>
    <w:rsid w:val="00B2324A"/>
    <w:rsid w:val="00B23412"/>
    <w:rsid w:val="00B2362E"/>
    <w:rsid w:val="00B23EFA"/>
    <w:rsid w:val="00B241CF"/>
    <w:rsid w:val="00B25055"/>
    <w:rsid w:val="00B250C3"/>
    <w:rsid w:val="00B25814"/>
    <w:rsid w:val="00B25B19"/>
    <w:rsid w:val="00B31CF3"/>
    <w:rsid w:val="00B32B4A"/>
    <w:rsid w:val="00B330FD"/>
    <w:rsid w:val="00B337F3"/>
    <w:rsid w:val="00B37900"/>
    <w:rsid w:val="00B40757"/>
    <w:rsid w:val="00B40BF5"/>
    <w:rsid w:val="00B42426"/>
    <w:rsid w:val="00B4292C"/>
    <w:rsid w:val="00B43F63"/>
    <w:rsid w:val="00B47171"/>
    <w:rsid w:val="00B503E9"/>
    <w:rsid w:val="00B50739"/>
    <w:rsid w:val="00B51AF3"/>
    <w:rsid w:val="00B5238E"/>
    <w:rsid w:val="00B52EF9"/>
    <w:rsid w:val="00B53C79"/>
    <w:rsid w:val="00B54039"/>
    <w:rsid w:val="00B54ACA"/>
    <w:rsid w:val="00B55885"/>
    <w:rsid w:val="00B5770C"/>
    <w:rsid w:val="00B6411D"/>
    <w:rsid w:val="00B653EB"/>
    <w:rsid w:val="00B65421"/>
    <w:rsid w:val="00B66767"/>
    <w:rsid w:val="00B7031A"/>
    <w:rsid w:val="00B705FB"/>
    <w:rsid w:val="00B707C2"/>
    <w:rsid w:val="00B71391"/>
    <w:rsid w:val="00B72FB9"/>
    <w:rsid w:val="00B730FC"/>
    <w:rsid w:val="00B73D78"/>
    <w:rsid w:val="00B73EBA"/>
    <w:rsid w:val="00B763A4"/>
    <w:rsid w:val="00B766ED"/>
    <w:rsid w:val="00B76F23"/>
    <w:rsid w:val="00B81583"/>
    <w:rsid w:val="00B866F6"/>
    <w:rsid w:val="00B90367"/>
    <w:rsid w:val="00B90540"/>
    <w:rsid w:val="00B90DC5"/>
    <w:rsid w:val="00B919A3"/>
    <w:rsid w:val="00B92205"/>
    <w:rsid w:val="00B925CF"/>
    <w:rsid w:val="00B92C7C"/>
    <w:rsid w:val="00B9323D"/>
    <w:rsid w:val="00B9563E"/>
    <w:rsid w:val="00B97700"/>
    <w:rsid w:val="00B97B80"/>
    <w:rsid w:val="00BA2965"/>
    <w:rsid w:val="00BA2DF0"/>
    <w:rsid w:val="00BA2EA2"/>
    <w:rsid w:val="00BA4CEA"/>
    <w:rsid w:val="00BA5445"/>
    <w:rsid w:val="00BA6260"/>
    <w:rsid w:val="00BA68BA"/>
    <w:rsid w:val="00BA7C53"/>
    <w:rsid w:val="00BB120F"/>
    <w:rsid w:val="00BB38CF"/>
    <w:rsid w:val="00BB6191"/>
    <w:rsid w:val="00BC11AD"/>
    <w:rsid w:val="00BC1E9B"/>
    <w:rsid w:val="00BC2278"/>
    <w:rsid w:val="00BC2D93"/>
    <w:rsid w:val="00BC5AAB"/>
    <w:rsid w:val="00BD0815"/>
    <w:rsid w:val="00BD1FC0"/>
    <w:rsid w:val="00BD29E3"/>
    <w:rsid w:val="00BD5318"/>
    <w:rsid w:val="00BD5675"/>
    <w:rsid w:val="00BD7277"/>
    <w:rsid w:val="00BD76FC"/>
    <w:rsid w:val="00BE0637"/>
    <w:rsid w:val="00BE08B5"/>
    <w:rsid w:val="00BE0B24"/>
    <w:rsid w:val="00BE1655"/>
    <w:rsid w:val="00BE2EA8"/>
    <w:rsid w:val="00BE3A03"/>
    <w:rsid w:val="00BE3FCA"/>
    <w:rsid w:val="00BE47A0"/>
    <w:rsid w:val="00BE6F15"/>
    <w:rsid w:val="00BF4059"/>
    <w:rsid w:val="00BF4694"/>
    <w:rsid w:val="00BF5F3D"/>
    <w:rsid w:val="00BF7635"/>
    <w:rsid w:val="00C01392"/>
    <w:rsid w:val="00C01600"/>
    <w:rsid w:val="00C0656E"/>
    <w:rsid w:val="00C079FE"/>
    <w:rsid w:val="00C15D7C"/>
    <w:rsid w:val="00C20005"/>
    <w:rsid w:val="00C20DBA"/>
    <w:rsid w:val="00C21782"/>
    <w:rsid w:val="00C321F8"/>
    <w:rsid w:val="00C33A89"/>
    <w:rsid w:val="00C34179"/>
    <w:rsid w:val="00C35F90"/>
    <w:rsid w:val="00C36A85"/>
    <w:rsid w:val="00C408ED"/>
    <w:rsid w:val="00C410C2"/>
    <w:rsid w:val="00C41828"/>
    <w:rsid w:val="00C433C7"/>
    <w:rsid w:val="00C45467"/>
    <w:rsid w:val="00C46F04"/>
    <w:rsid w:val="00C5023D"/>
    <w:rsid w:val="00C50D56"/>
    <w:rsid w:val="00C54592"/>
    <w:rsid w:val="00C54C9E"/>
    <w:rsid w:val="00C55702"/>
    <w:rsid w:val="00C55B8D"/>
    <w:rsid w:val="00C56435"/>
    <w:rsid w:val="00C56CA4"/>
    <w:rsid w:val="00C612E3"/>
    <w:rsid w:val="00C61F2B"/>
    <w:rsid w:val="00C62DEE"/>
    <w:rsid w:val="00C63D79"/>
    <w:rsid w:val="00C6481E"/>
    <w:rsid w:val="00C64A74"/>
    <w:rsid w:val="00C65734"/>
    <w:rsid w:val="00C657F7"/>
    <w:rsid w:val="00C65E80"/>
    <w:rsid w:val="00C708C0"/>
    <w:rsid w:val="00C7093D"/>
    <w:rsid w:val="00C75C08"/>
    <w:rsid w:val="00C81BCC"/>
    <w:rsid w:val="00C82CC4"/>
    <w:rsid w:val="00C8380B"/>
    <w:rsid w:val="00C839F1"/>
    <w:rsid w:val="00C85D9F"/>
    <w:rsid w:val="00C86495"/>
    <w:rsid w:val="00C8675F"/>
    <w:rsid w:val="00C92B6F"/>
    <w:rsid w:val="00C93FE0"/>
    <w:rsid w:val="00C95E82"/>
    <w:rsid w:val="00C96821"/>
    <w:rsid w:val="00C96A74"/>
    <w:rsid w:val="00CA05EA"/>
    <w:rsid w:val="00CA27F8"/>
    <w:rsid w:val="00CA2C8B"/>
    <w:rsid w:val="00CA3BCE"/>
    <w:rsid w:val="00CA68A2"/>
    <w:rsid w:val="00CB05C9"/>
    <w:rsid w:val="00CB0BE1"/>
    <w:rsid w:val="00CB215D"/>
    <w:rsid w:val="00CB428F"/>
    <w:rsid w:val="00CB441E"/>
    <w:rsid w:val="00CB44D2"/>
    <w:rsid w:val="00CB5140"/>
    <w:rsid w:val="00CC1141"/>
    <w:rsid w:val="00CC2033"/>
    <w:rsid w:val="00CC47DA"/>
    <w:rsid w:val="00CC4B39"/>
    <w:rsid w:val="00CC64E6"/>
    <w:rsid w:val="00CC6789"/>
    <w:rsid w:val="00CD0AEE"/>
    <w:rsid w:val="00CD1302"/>
    <w:rsid w:val="00CD142A"/>
    <w:rsid w:val="00CD1EBC"/>
    <w:rsid w:val="00CD4424"/>
    <w:rsid w:val="00CD4D65"/>
    <w:rsid w:val="00CD57F4"/>
    <w:rsid w:val="00CD6176"/>
    <w:rsid w:val="00CD75E7"/>
    <w:rsid w:val="00CE0760"/>
    <w:rsid w:val="00CE0D20"/>
    <w:rsid w:val="00CE3108"/>
    <w:rsid w:val="00CE3628"/>
    <w:rsid w:val="00CE3BE5"/>
    <w:rsid w:val="00CE5C4E"/>
    <w:rsid w:val="00CF0F67"/>
    <w:rsid w:val="00CF184B"/>
    <w:rsid w:val="00CF2D54"/>
    <w:rsid w:val="00CF41A1"/>
    <w:rsid w:val="00CF67D0"/>
    <w:rsid w:val="00D01117"/>
    <w:rsid w:val="00D02406"/>
    <w:rsid w:val="00D03088"/>
    <w:rsid w:val="00D03753"/>
    <w:rsid w:val="00D0391D"/>
    <w:rsid w:val="00D049BE"/>
    <w:rsid w:val="00D0616C"/>
    <w:rsid w:val="00D06D55"/>
    <w:rsid w:val="00D06E9F"/>
    <w:rsid w:val="00D07031"/>
    <w:rsid w:val="00D077F0"/>
    <w:rsid w:val="00D10D9C"/>
    <w:rsid w:val="00D136FC"/>
    <w:rsid w:val="00D14246"/>
    <w:rsid w:val="00D154CF"/>
    <w:rsid w:val="00D15D43"/>
    <w:rsid w:val="00D211B4"/>
    <w:rsid w:val="00D2250D"/>
    <w:rsid w:val="00D22966"/>
    <w:rsid w:val="00D23B90"/>
    <w:rsid w:val="00D23C05"/>
    <w:rsid w:val="00D23DF5"/>
    <w:rsid w:val="00D2501C"/>
    <w:rsid w:val="00D26438"/>
    <w:rsid w:val="00D272BA"/>
    <w:rsid w:val="00D275B4"/>
    <w:rsid w:val="00D306A4"/>
    <w:rsid w:val="00D31D57"/>
    <w:rsid w:val="00D359BA"/>
    <w:rsid w:val="00D37EC9"/>
    <w:rsid w:val="00D40539"/>
    <w:rsid w:val="00D40DD2"/>
    <w:rsid w:val="00D42A51"/>
    <w:rsid w:val="00D459FC"/>
    <w:rsid w:val="00D47335"/>
    <w:rsid w:val="00D474B4"/>
    <w:rsid w:val="00D47C97"/>
    <w:rsid w:val="00D514A2"/>
    <w:rsid w:val="00D5441D"/>
    <w:rsid w:val="00D55318"/>
    <w:rsid w:val="00D5538E"/>
    <w:rsid w:val="00D55767"/>
    <w:rsid w:val="00D574DF"/>
    <w:rsid w:val="00D60F8E"/>
    <w:rsid w:val="00D622B0"/>
    <w:rsid w:val="00D62ED6"/>
    <w:rsid w:val="00D64E7C"/>
    <w:rsid w:val="00D66939"/>
    <w:rsid w:val="00D67409"/>
    <w:rsid w:val="00D67F1B"/>
    <w:rsid w:val="00D72BD5"/>
    <w:rsid w:val="00D7588E"/>
    <w:rsid w:val="00D75ED9"/>
    <w:rsid w:val="00D81D1A"/>
    <w:rsid w:val="00D8212D"/>
    <w:rsid w:val="00D82B25"/>
    <w:rsid w:val="00D8388B"/>
    <w:rsid w:val="00D83C21"/>
    <w:rsid w:val="00D845C4"/>
    <w:rsid w:val="00D84F10"/>
    <w:rsid w:val="00D853FF"/>
    <w:rsid w:val="00D858A4"/>
    <w:rsid w:val="00D86BE5"/>
    <w:rsid w:val="00D919F9"/>
    <w:rsid w:val="00D920F0"/>
    <w:rsid w:val="00D93D76"/>
    <w:rsid w:val="00D95D08"/>
    <w:rsid w:val="00D969F1"/>
    <w:rsid w:val="00DA2011"/>
    <w:rsid w:val="00DA2453"/>
    <w:rsid w:val="00DA4365"/>
    <w:rsid w:val="00DA6C55"/>
    <w:rsid w:val="00DA7B8F"/>
    <w:rsid w:val="00DB0390"/>
    <w:rsid w:val="00DB10C2"/>
    <w:rsid w:val="00DB406F"/>
    <w:rsid w:val="00DB46C1"/>
    <w:rsid w:val="00DB4F26"/>
    <w:rsid w:val="00DB6A51"/>
    <w:rsid w:val="00DB71A5"/>
    <w:rsid w:val="00DB7C12"/>
    <w:rsid w:val="00DC60CB"/>
    <w:rsid w:val="00DD0DA4"/>
    <w:rsid w:val="00DD20E0"/>
    <w:rsid w:val="00DD3AA1"/>
    <w:rsid w:val="00DD54E9"/>
    <w:rsid w:val="00DD5F34"/>
    <w:rsid w:val="00DD65F9"/>
    <w:rsid w:val="00DE1596"/>
    <w:rsid w:val="00DE2BF8"/>
    <w:rsid w:val="00DF0C7F"/>
    <w:rsid w:val="00DF1020"/>
    <w:rsid w:val="00DF1BF8"/>
    <w:rsid w:val="00DF2730"/>
    <w:rsid w:val="00DF4818"/>
    <w:rsid w:val="00DF50E9"/>
    <w:rsid w:val="00DF660C"/>
    <w:rsid w:val="00E0071F"/>
    <w:rsid w:val="00E05C6F"/>
    <w:rsid w:val="00E06A45"/>
    <w:rsid w:val="00E073A7"/>
    <w:rsid w:val="00E114C9"/>
    <w:rsid w:val="00E11A6C"/>
    <w:rsid w:val="00E12EC6"/>
    <w:rsid w:val="00E1303F"/>
    <w:rsid w:val="00E13602"/>
    <w:rsid w:val="00E14376"/>
    <w:rsid w:val="00E156C0"/>
    <w:rsid w:val="00E15EE0"/>
    <w:rsid w:val="00E15F23"/>
    <w:rsid w:val="00E17BB9"/>
    <w:rsid w:val="00E21DF7"/>
    <w:rsid w:val="00E22F44"/>
    <w:rsid w:val="00E23408"/>
    <w:rsid w:val="00E23E3F"/>
    <w:rsid w:val="00E2430F"/>
    <w:rsid w:val="00E24883"/>
    <w:rsid w:val="00E24B54"/>
    <w:rsid w:val="00E25856"/>
    <w:rsid w:val="00E265FD"/>
    <w:rsid w:val="00E30A6B"/>
    <w:rsid w:val="00E314E5"/>
    <w:rsid w:val="00E3176E"/>
    <w:rsid w:val="00E31983"/>
    <w:rsid w:val="00E33797"/>
    <w:rsid w:val="00E371CE"/>
    <w:rsid w:val="00E371EB"/>
    <w:rsid w:val="00E37C14"/>
    <w:rsid w:val="00E4771D"/>
    <w:rsid w:val="00E47B55"/>
    <w:rsid w:val="00E47E85"/>
    <w:rsid w:val="00E50665"/>
    <w:rsid w:val="00E51928"/>
    <w:rsid w:val="00E54F84"/>
    <w:rsid w:val="00E55AC6"/>
    <w:rsid w:val="00E55E90"/>
    <w:rsid w:val="00E57EEA"/>
    <w:rsid w:val="00E64250"/>
    <w:rsid w:val="00E65784"/>
    <w:rsid w:val="00E66FCA"/>
    <w:rsid w:val="00E748B1"/>
    <w:rsid w:val="00E74AD6"/>
    <w:rsid w:val="00E76431"/>
    <w:rsid w:val="00E812E7"/>
    <w:rsid w:val="00E813E1"/>
    <w:rsid w:val="00E8173A"/>
    <w:rsid w:val="00E83DE4"/>
    <w:rsid w:val="00E84D7A"/>
    <w:rsid w:val="00E851BE"/>
    <w:rsid w:val="00E87DA7"/>
    <w:rsid w:val="00E90D3C"/>
    <w:rsid w:val="00E915C8"/>
    <w:rsid w:val="00E920B9"/>
    <w:rsid w:val="00E920BE"/>
    <w:rsid w:val="00E927F3"/>
    <w:rsid w:val="00E94298"/>
    <w:rsid w:val="00E94512"/>
    <w:rsid w:val="00E95086"/>
    <w:rsid w:val="00EA1EC8"/>
    <w:rsid w:val="00EA2FAC"/>
    <w:rsid w:val="00EA37FA"/>
    <w:rsid w:val="00EA3863"/>
    <w:rsid w:val="00EA4B5A"/>
    <w:rsid w:val="00EA55DF"/>
    <w:rsid w:val="00EA5F55"/>
    <w:rsid w:val="00EB0458"/>
    <w:rsid w:val="00EB7521"/>
    <w:rsid w:val="00EC0836"/>
    <w:rsid w:val="00EC247D"/>
    <w:rsid w:val="00EC4D85"/>
    <w:rsid w:val="00EC6668"/>
    <w:rsid w:val="00EC6808"/>
    <w:rsid w:val="00EC7ECC"/>
    <w:rsid w:val="00ED002C"/>
    <w:rsid w:val="00ED26F9"/>
    <w:rsid w:val="00ED56E6"/>
    <w:rsid w:val="00ED5DDB"/>
    <w:rsid w:val="00ED6388"/>
    <w:rsid w:val="00ED6454"/>
    <w:rsid w:val="00ED7495"/>
    <w:rsid w:val="00EE0602"/>
    <w:rsid w:val="00EE4198"/>
    <w:rsid w:val="00EE44DD"/>
    <w:rsid w:val="00EE6EE4"/>
    <w:rsid w:val="00EE7667"/>
    <w:rsid w:val="00EE7836"/>
    <w:rsid w:val="00EF08C1"/>
    <w:rsid w:val="00EF19ED"/>
    <w:rsid w:val="00EF5139"/>
    <w:rsid w:val="00EF54BC"/>
    <w:rsid w:val="00EF5DF3"/>
    <w:rsid w:val="00EF6E4D"/>
    <w:rsid w:val="00EF6F33"/>
    <w:rsid w:val="00EF70BA"/>
    <w:rsid w:val="00EF7239"/>
    <w:rsid w:val="00F0173B"/>
    <w:rsid w:val="00F01DEB"/>
    <w:rsid w:val="00F01E38"/>
    <w:rsid w:val="00F01EDC"/>
    <w:rsid w:val="00F02D09"/>
    <w:rsid w:val="00F03103"/>
    <w:rsid w:val="00F0350D"/>
    <w:rsid w:val="00F06B11"/>
    <w:rsid w:val="00F073DA"/>
    <w:rsid w:val="00F074B3"/>
    <w:rsid w:val="00F07521"/>
    <w:rsid w:val="00F07CE2"/>
    <w:rsid w:val="00F10F37"/>
    <w:rsid w:val="00F11435"/>
    <w:rsid w:val="00F123EE"/>
    <w:rsid w:val="00F20848"/>
    <w:rsid w:val="00F21345"/>
    <w:rsid w:val="00F2391A"/>
    <w:rsid w:val="00F27826"/>
    <w:rsid w:val="00F27C34"/>
    <w:rsid w:val="00F30728"/>
    <w:rsid w:val="00F30DD4"/>
    <w:rsid w:val="00F322BC"/>
    <w:rsid w:val="00F34D3F"/>
    <w:rsid w:val="00F35FC5"/>
    <w:rsid w:val="00F36621"/>
    <w:rsid w:val="00F408D3"/>
    <w:rsid w:val="00F411CA"/>
    <w:rsid w:val="00F42E72"/>
    <w:rsid w:val="00F43346"/>
    <w:rsid w:val="00F442B0"/>
    <w:rsid w:val="00F444D4"/>
    <w:rsid w:val="00F4581C"/>
    <w:rsid w:val="00F476DB"/>
    <w:rsid w:val="00F47DAC"/>
    <w:rsid w:val="00F50293"/>
    <w:rsid w:val="00F50E56"/>
    <w:rsid w:val="00F51C77"/>
    <w:rsid w:val="00F51DC3"/>
    <w:rsid w:val="00F52FCD"/>
    <w:rsid w:val="00F545D0"/>
    <w:rsid w:val="00F54BB3"/>
    <w:rsid w:val="00F56138"/>
    <w:rsid w:val="00F56BBA"/>
    <w:rsid w:val="00F600B1"/>
    <w:rsid w:val="00F60584"/>
    <w:rsid w:val="00F6168B"/>
    <w:rsid w:val="00F619D5"/>
    <w:rsid w:val="00F62084"/>
    <w:rsid w:val="00F62F83"/>
    <w:rsid w:val="00F63F0A"/>
    <w:rsid w:val="00F649E2"/>
    <w:rsid w:val="00F66903"/>
    <w:rsid w:val="00F67319"/>
    <w:rsid w:val="00F67C17"/>
    <w:rsid w:val="00F67DAB"/>
    <w:rsid w:val="00F70DB5"/>
    <w:rsid w:val="00F718BD"/>
    <w:rsid w:val="00F731CF"/>
    <w:rsid w:val="00F739F6"/>
    <w:rsid w:val="00F73C7C"/>
    <w:rsid w:val="00F74587"/>
    <w:rsid w:val="00F75FFF"/>
    <w:rsid w:val="00F80676"/>
    <w:rsid w:val="00F82485"/>
    <w:rsid w:val="00F84715"/>
    <w:rsid w:val="00F84870"/>
    <w:rsid w:val="00F84AC9"/>
    <w:rsid w:val="00F85A58"/>
    <w:rsid w:val="00F903F2"/>
    <w:rsid w:val="00F904F2"/>
    <w:rsid w:val="00F90CA9"/>
    <w:rsid w:val="00F91C2D"/>
    <w:rsid w:val="00F91FBA"/>
    <w:rsid w:val="00F9253E"/>
    <w:rsid w:val="00F947CF"/>
    <w:rsid w:val="00F95DB5"/>
    <w:rsid w:val="00FA1C40"/>
    <w:rsid w:val="00FA2AE3"/>
    <w:rsid w:val="00FA2C29"/>
    <w:rsid w:val="00FA6207"/>
    <w:rsid w:val="00FA7730"/>
    <w:rsid w:val="00FA7C5B"/>
    <w:rsid w:val="00FB0909"/>
    <w:rsid w:val="00FB24B0"/>
    <w:rsid w:val="00FB3CD0"/>
    <w:rsid w:val="00FB4E2B"/>
    <w:rsid w:val="00FB6B00"/>
    <w:rsid w:val="00FC09A0"/>
    <w:rsid w:val="00FC192A"/>
    <w:rsid w:val="00FC737D"/>
    <w:rsid w:val="00FD1F28"/>
    <w:rsid w:val="00FD2511"/>
    <w:rsid w:val="00FD4116"/>
    <w:rsid w:val="00FD4EE9"/>
    <w:rsid w:val="00FD5222"/>
    <w:rsid w:val="00FD5D55"/>
    <w:rsid w:val="00FD6833"/>
    <w:rsid w:val="00FE2D35"/>
    <w:rsid w:val="00FE4946"/>
    <w:rsid w:val="00FF005F"/>
    <w:rsid w:val="00FF1732"/>
    <w:rsid w:val="00FF17DC"/>
    <w:rsid w:val="00FF411C"/>
    <w:rsid w:val="00FF7527"/>
    <w:rsid w:val="01344D05"/>
    <w:rsid w:val="02886171"/>
    <w:rsid w:val="07374D8C"/>
    <w:rsid w:val="081848D5"/>
    <w:rsid w:val="0ABB60F6"/>
    <w:rsid w:val="0BEC4C5B"/>
    <w:rsid w:val="0CA963DA"/>
    <w:rsid w:val="0CCB1E1A"/>
    <w:rsid w:val="1179181E"/>
    <w:rsid w:val="11FE3D1A"/>
    <w:rsid w:val="140E63FC"/>
    <w:rsid w:val="167C4F45"/>
    <w:rsid w:val="18E44BD7"/>
    <w:rsid w:val="19C818E8"/>
    <w:rsid w:val="1B1937F4"/>
    <w:rsid w:val="1C63733B"/>
    <w:rsid w:val="22371982"/>
    <w:rsid w:val="238B3246"/>
    <w:rsid w:val="24FF3D5B"/>
    <w:rsid w:val="25C41C51"/>
    <w:rsid w:val="2753438C"/>
    <w:rsid w:val="287A5397"/>
    <w:rsid w:val="2F9B0309"/>
    <w:rsid w:val="2FA1253C"/>
    <w:rsid w:val="31E00A6C"/>
    <w:rsid w:val="38C42D14"/>
    <w:rsid w:val="3BD55437"/>
    <w:rsid w:val="3BFB0B92"/>
    <w:rsid w:val="3CFF6D4C"/>
    <w:rsid w:val="3D167D7F"/>
    <w:rsid w:val="3FFD2CB8"/>
    <w:rsid w:val="4232087A"/>
    <w:rsid w:val="443254B9"/>
    <w:rsid w:val="46A24B19"/>
    <w:rsid w:val="482D0284"/>
    <w:rsid w:val="4A355526"/>
    <w:rsid w:val="4C303D85"/>
    <w:rsid w:val="4E2B2C6D"/>
    <w:rsid w:val="4F1016FD"/>
    <w:rsid w:val="4F24139E"/>
    <w:rsid w:val="52BF42A3"/>
    <w:rsid w:val="54882FB0"/>
    <w:rsid w:val="5A0B7AC2"/>
    <w:rsid w:val="5A585F68"/>
    <w:rsid w:val="5AEB63D3"/>
    <w:rsid w:val="5DB81A7A"/>
    <w:rsid w:val="5F557ABD"/>
    <w:rsid w:val="618C45D3"/>
    <w:rsid w:val="61C41C00"/>
    <w:rsid w:val="64B34048"/>
    <w:rsid w:val="66A96DEC"/>
    <w:rsid w:val="6BF10A27"/>
    <w:rsid w:val="6D724CD2"/>
    <w:rsid w:val="6F27679F"/>
    <w:rsid w:val="6FB80520"/>
    <w:rsid w:val="712B135E"/>
    <w:rsid w:val="72414B7F"/>
    <w:rsid w:val="73D527F4"/>
    <w:rsid w:val="78D7788F"/>
    <w:rsid w:val="7919120A"/>
    <w:rsid w:val="7C58037D"/>
    <w:rsid w:val="7EB654D4"/>
    <w:rsid w:val="7EC5584E"/>
    <w:rsid w:val="7F7747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Calibri" w:eastAsia="仿宋_GB2312" w:cs="Times New Roman"/>
      <w:kern w:val="2"/>
      <w:sz w:val="32"/>
      <w:szCs w:val="22"/>
      <w:lang w:val="en-US" w:eastAsia="zh-CN" w:bidi="ar-SA"/>
    </w:rPr>
  </w:style>
  <w:style w:type="paragraph" w:styleId="2">
    <w:name w:val="heading 1"/>
    <w:basedOn w:val="1"/>
    <w:next w:val="1"/>
    <w:link w:val="2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autoRedefine/>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25"/>
    <w:autoRedefine/>
    <w:unhideWhenUsed/>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annotation text"/>
    <w:basedOn w:val="1"/>
    <w:link w:val="26"/>
    <w:autoRedefine/>
    <w:semiHidden/>
    <w:qFormat/>
    <w:uiPriority w:val="0"/>
    <w:pPr>
      <w:jc w:val="left"/>
    </w:pPr>
  </w:style>
  <w:style w:type="paragraph" w:styleId="6">
    <w:name w:val="toc 3"/>
    <w:basedOn w:val="1"/>
    <w:next w:val="1"/>
    <w:autoRedefine/>
    <w:unhideWhenUsed/>
    <w:qFormat/>
    <w:uiPriority w:val="39"/>
    <w:pPr>
      <w:widowControl/>
      <w:spacing w:after="100" w:line="259" w:lineRule="auto"/>
      <w:ind w:left="440"/>
      <w:jc w:val="left"/>
    </w:pPr>
    <w:rPr>
      <w:rFonts w:ascii="Calibri" w:hAnsi="Calibri" w:eastAsia="宋体"/>
      <w:kern w:val="0"/>
      <w:sz w:val="22"/>
    </w:rPr>
  </w:style>
  <w:style w:type="paragraph" w:styleId="7">
    <w:name w:val="Date"/>
    <w:basedOn w:val="1"/>
    <w:next w:val="1"/>
    <w:link w:val="27"/>
    <w:autoRedefine/>
    <w:qFormat/>
    <w:uiPriority w:val="0"/>
    <w:pPr>
      <w:ind w:left="100" w:leftChars="2500"/>
    </w:pPr>
  </w:style>
  <w:style w:type="paragraph" w:styleId="8">
    <w:name w:val="Balloon Text"/>
    <w:basedOn w:val="1"/>
    <w:link w:val="28"/>
    <w:autoRedefine/>
    <w:semiHidden/>
    <w:qFormat/>
    <w:uiPriority w:val="0"/>
    <w:rPr>
      <w:sz w:val="18"/>
      <w:szCs w:val="18"/>
    </w:rPr>
  </w:style>
  <w:style w:type="paragraph" w:styleId="9">
    <w:name w:val="footer"/>
    <w:basedOn w:val="1"/>
    <w:link w:val="29"/>
    <w:autoRedefine/>
    <w:qFormat/>
    <w:uiPriority w:val="0"/>
    <w:pPr>
      <w:tabs>
        <w:tab w:val="center" w:pos="4153"/>
        <w:tab w:val="right" w:pos="8306"/>
      </w:tabs>
      <w:snapToGrid w:val="0"/>
      <w:jc w:val="left"/>
    </w:pPr>
    <w:rPr>
      <w:sz w:val="18"/>
      <w:szCs w:val="18"/>
    </w:rPr>
  </w:style>
  <w:style w:type="paragraph" w:styleId="10">
    <w:name w:val="header"/>
    <w:basedOn w:val="1"/>
    <w:link w:val="3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tabs>
        <w:tab w:val="right" w:leader="dot" w:pos="8963"/>
      </w:tabs>
      <w:spacing w:after="100"/>
      <w:jc w:val="left"/>
    </w:pPr>
    <w:rPr>
      <w:rFonts w:ascii="Calibri" w:hAnsi="Calibri" w:eastAsia="宋体"/>
      <w:kern w:val="0"/>
      <w:sz w:val="22"/>
    </w:rPr>
  </w:style>
  <w:style w:type="paragraph" w:styleId="12">
    <w:name w:val="footnote text"/>
    <w:basedOn w:val="1"/>
    <w:link w:val="31"/>
    <w:autoRedefine/>
    <w:qFormat/>
    <w:uiPriority w:val="0"/>
    <w:pPr>
      <w:snapToGrid w:val="0"/>
      <w:jc w:val="left"/>
    </w:pPr>
    <w:rPr>
      <w:sz w:val="18"/>
      <w:szCs w:val="18"/>
    </w:rPr>
  </w:style>
  <w:style w:type="paragraph" w:styleId="13">
    <w:name w:val="toc 2"/>
    <w:basedOn w:val="1"/>
    <w:next w:val="1"/>
    <w:autoRedefine/>
    <w:unhideWhenUsed/>
    <w:qFormat/>
    <w:uiPriority w:val="39"/>
    <w:pPr>
      <w:widowControl/>
      <w:spacing w:after="100" w:line="259" w:lineRule="auto"/>
      <w:ind w:left="220"/>
      <w:jc w:val="left"/>
    </w:pPr>
    <w:rPr>
      <w:rFonts w:ascii="Calibri" w:hAnsi="Calibri" w:eastAsia="宋体"/>
      <w:kern w:val="0"/>
      <w:sz w:val="22"/>
    </w:rPr>
  </w:style>
  <w:style w:type="paragraph" w:styleId="14">
    <w:name w:val="HTML Preformatted"/>
    <w:basedOn w:val="1"/>
    <w:link w:val="32"/>
    <w:autoRedefine/>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3"/>
    <w:autoRedefine/>
    <w:semiHidden/>
    <w:qFormat/>
    <w:uiPriority w:val="0"/>
    <w:rPr>
      <w:b/>
      <w:bCs/>
    </w:r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autoRedefine/>
    <w:unhideWhenUsed/>
    <w:qFormat/>
    <w:uiPriority w:val="99"/>
    <w:rPr>
      <w:color w:val="0563C1"/>
      <w:u w:val="single"/>
    </w:rPr>
  </w:style>
  <w:style w:type="character" w:styleId="21">
    <w:name w:val="annotation reference"/>
    <w:autoRedefine/>
    <w:semiHidden/>
    <w:qFormat/>
    <w:uiPriority w:val="0"/>
    <w:rPr>
      <w:rFonts w:cs="Times New Roman"/>
      <w:sz w:val="21"/>
      <w:szCs w:val="21"/>
    </w:rPr>
  </w:style>
  <w:style w:type="character" w:styleId="22">
    <w:name w:val="footnote reference"/>
    <w:autoRedefine/>
    <w:qFormat/>
    <w:uiPriority w:val="0"/>
    <w:rPr>
      <w:vertAlign w:val="superscript"/>
    </w:rPr>
  </w:style>
  <w:style w:type="character" w:customStyle="1" w:styleId="23">
    <w:name w:val="标题 1 Char"/>
    <w:link w:val="2"/>
    <w:autoRedefine/>
    <w:qFormat/>
    <w:uiPriority w:val="0"/>
    <w:rPr>
      <w:rFonts w:ascii="Calibri" w:hAnsi="Calibri"/>
      <w:b/>
      <w:bCs/>
      <w:kern w:val="44"/>
      <w:sz w:val="44"/>
      <w:szCs w:val="44"/>
    </w:rPr>
  </w:style>
  <w:style w:type="character" w:customStyle="1" w:styleId="24">
    <w:name w:val="标题 2 Char"/>
    <w:link w:val="3"/>
    <w:autoRedefine/>
    <w:qFormat/>
    <w:uiPriority w:val="0"/>
    <w:rPr>
      <w:rFonts w:ascii="Calibri Light" w:hAnsi="Calibri Light" w:eastAsia="宋体" w:cs="Times New Roman"/>
      <w:b/>
      <w:bCs/>
      <w:kern w:val="2"/>
      <w:sz w:val="32"/>
      <w:szCs w:val="32"/>
    </w:rPr>
  </w:style>
  <w:style w:type="character" w:customStyle="1" w:styleId="25">
    <w:name w:val="标题 3 Char"/>
    <w:link w:val="4"/>
    <w:autoRedefine/>
    <w:qFormat/>
    <w:uiPriority w:val="0"/>
    <w:rPr>
      <w:rFonts w:ascii="Calibri" w:hAnsi="Calibri"/>
      <w:b/>
      <w:bCs/>
      <w:kern w:val="2"/>
      <w:sz w:val="32"/>
      <w:szCs w:val="32"/>
    </w:rPr>
  </w:style>
  <w:style w:type="character" w:customStyle="1" w:styleId="26">
    <w:name w:val="批注文字 Char"/>
    <w:link w:val="5"/>
    <w:autoRedefine/>
    <w:semiHidden/>
    <w:qFormat/>
    <w:locked/>
    <w:uiPriority w:val="0"/>
    <w:rPr>
      <w:rFonts w:ascii="Calibri" w:hAnsi="Calibri" w:eastAsia="宋体"/>
      <w:kern w:val="2"/>
      <w:sz w:val="21"/>
      <w:szCs w:val="22"/>
      <w:lang w:val="en-US" w:eastAsia="zh-CN" w:bidi="ar-SA"/>
    </w:rPr>
  </w:style>
  <w:style w:type="character" w:customStyle="1" w:styleId="27">
    <w:name w:val="日期 Char"/>
    <w:link w:val="7"/>
    <w:autoRedefine/>
    <w:qFormat/>
    <w:uiPriority w:val="0"/>
    <w:rPr>
      <w:rFonts w:ascii="Calibri" w:hAnsi="Calibri"/>
      <w:kern w:val="2"/>
      <w:sz w:val="21"/>
      <w:szCs w:val="22"/>
    </w:rPr>
  </w:style>
  <w:style w:type="character" w:customStyle="1" w:styleId="28">
    <w:name w:val="批注框文本 Char"/>
    <w:link w:val="8"/>
    <w:autoRedefine/>
    <w:semiHidden/>
    <w:qFormat/>
    <w:locked/>
    <w:uiPriority w:val="0"/>
    <w:rPr>
      <w:rFonts w:ascii="Calibri" w:hAnsi="Calibri" w:eastAsia="宋体"/>
      <w:kern w:val="2"/>
      <w:sz w:val="18"/>
      <w:szCs w:val="18"/>
      <w:lang w:val="en-US" w:eastAsia="zh-CN" w:bidi="ar-SA"/>
    </w:rPr>
  </w:style>
  <w:style w:type="character" w:customStyle="1" w:styleId="29">
    <w:name w:val="页脚 Char"/>
    <w:link w:val="9"/>
    <w:autoRedefine/>
    <w:qFormat/>
    <w:locked/>
    <w:uiPriority w:val="0"/>
    <w:rPr>
      <w:rFonts w:ascii="Calibri" w:hAnsi="Calibri" w:eastAsia="宋体"/>
      <w:kern w:val="2"/>
      <w:sz w:val="18"/>
      <w:szCs w:val="18"/>
      <w:lang w:val="en-US" w:eastAsia="zh-CN" w:bidi="ar-SA"/>
    </w:rPr>
  </w:style>
  <w:style w:type="character" w:customStyle="1" w:styleId="30">
    <w:name w:val="页眉 Char"/>
    <w:link w:val="10"/>
    <w:autoRedefine/>
    <w:qFormat/>
    <w:locked/>
    <w:uiPriority w:val="0"/>
    <w:rPr>
      <w:rFonts w:ascii="Calibri" w:hAnsi="Calibri" w:eastAsia="宋体"/>
      <w:kern w:val="2"/>
      <w:sz w:val="18"/>
      <w:szCs w:val="18"/>
      <w:lang w:val="en-US" w:eastAsia="zh-CN" w:bidi="ar-SA"/>
    </w:rPr>
  </w:style>
  <w:style w:type="character" w:customStyle="1" w:styleId="31">
    <w:name w:val="脚注文本 Char"/>
    <w:link w:val="12"/>
    <w:autoRedefine/>
    <w:qFormat/>
    <w:uiPriority w:val="0"/>
    <w:rPr>
      <w:rFonts w:ascii="Calibri" w:hAnsi="Calibri"/>
      <w:kern w:val="2"/>
      <w:sz w:val="18"/>
      <w:szCs w:val="18"/>
    </w:rPr>
  </w:style>
  <w:style w:type="character" w:customStyle="1" w:styleId="32">
    <w:name w:val="HTML 预设格式 Char"/>
    <w:link w:val="14"/>
    <w:autoRedefine/>
    <w:semiHidden/>
    <w:qFormat/>
    <w:locked/>
    <w:uiPriority w:val="0"/>
    <w:rPr>
      <w:rFonts w:ascii="宋体" w:hAnsi="宋体" w:eastAsia="宋体" w:cs="宋体"/>
      <w:sz w:val="24"/>
      <w:szCs w:val="24"/>
      <w:lang w:val="en-US" w:eastAsia="zh-CN" w:bidi="ar-SA"/>
    </w:rPr>
  </w:style>
  <w:style w:type="character" w:customStyle="1" w:styleId="33">
    <w:name w:val="批注主题 Char"/>
    <w:link w:val="16"/>
    <w:autoRedefine/>
    <w:semiHidden/>
    <w:qFormat/>
    <w:locked/>
    <w:uiPriority w:val="0"/>
    <w:rPr>
      <w:rFonts w:ascii="Calibri" w:hAnsi="Calibri" w:eastAsia="宋体"/>
      <w:b/>
      <w:bCs/>
      <w:kern w:val="2"/>
      <w:sz w:val="21"/>
      <w:szCs w:val="22"/>
      <w:lang w:val="en-US" w:eastAsia="zh-CN" w:bidi="ar-SA"/>
    </w:rPr>
  </w:style>
  <w:style w:type="character" w:customStyle="1" w:styleId="34">
    <w:name w:val="样式 仿宋_GB2312 (符号) 宋体 三号"/>
    <w:autoRedefine/>
    <w:qFormat/>
    <w:uiPriority w:val="0"/>
  </w:style>
  <w:style w:type="character" w:customStyle="1" w:styleId="35">
    <w:name w:val="apple-style-span"/>
    <w:autoRedefine/>
    <w:qFormat/>
    <w:uiPriority w:val="0"/>
  </w:style>
  <w:style w:type="character" w:customStyle="1" w:styleId="36">
    <w:name w:val="黑体1 Char"/>
    <w:link w:val="37"/>
    <w:autoRedefine/>
    <w:qFormat/>
    <w:uiPriority w:val="0"/>
    <w:rPr>
      <w:rFonts w:ascii="黑体" w:hAnsi="黑体" w:eastAsia="黑体"/>
      <w:b/>
      <w:sz w:val="32"/>
      <w:szCs w:val="28"/>
    </w:rPr>
  </w:style>
  <w:style w:type="paragraph" w:customStyle="1" w:styleId="37">
    <w:name w:val="黑体1"/>
    <w:basedOn w:val="1"/>
    <w:link w:val="36"/>
    <w:autoRedefine/>
    <w:qFormat/>
    <w:uiPriority w:val="0"/>
    <w:pPr>
      <w:widowControl/>
      <w:overflowPunct w:val="0"/>
      <w:autoSpaceDE w:val="0"/>
      <w:autoSpaceDN w:val="0"/>
      <w:adjustRightInd w:val="0"/>
      <w:spacing w:line="560" w:lineRule="exact"/>
      <w:ind w:firstLine="803" w:firstLineChars="250"/>
      <w:jc w:val="left"/>
      <w:textAlignment w:val="baseline"/>
    </w:pPr>
    <w:rPr>
      <w:rFonts w:ascii="黑体" w:hAnsi="黑体" w:eastAsia="黑体"/>
      <w:b/>
      <w:kern w:val="0"/>
      <w:sz w:val="32"/>
      <w:szCs w:val="28"/>
    </w:rPr>
  </w:style>
  <w:style w:type="paragraph" w:customStyle="1" w:styleId="38">
    <w:name w:val="_Style 37"/>
    <w:basedOn w:val="2"/>
    <w:next w:val="1"/>
    <w:autoRedefine/>
    <w:unhideWhenUsed/>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39">
    <w:name w:val="正文 A"/>
    <w:autoRedefine/>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szCs w:val="21"/>
      <w:u w:color="000000"/>
      <w:lang w:val="en-US" w:eastAsia="zh-CN" w:bidi="ar-SA"/>
    </w:rPr>
  </w:style>
  <w:style w:type="character" w:customStyle="1" w:styleId="40">
    <w:name w:val="fontstyle01"/>
    <w:basedOn w:val="19"/>
    <w:autoRedefine/>
    <w:qFormat/>
    <w:uiPriority w:val="0"/>
    <w:rPr>
      <w:rFonts w:hint="default" w:ascii="FZXBSK--GBK1-0" w:hAnsi="FZXBSK--GBK1-0"/>
      <w:color w:val="000000"/>
      <w:sz w:val="44"/>
      <w:szCs w:val="44"/>
    </w:rPr>
  </w:style>
  <w:style w:type="character" w:customStyle="1" w:styleId="41">
    <w:name w:val="font11"/>
    <w:basedOn w:val="19"/>
    <w:autoRedefine/>
    <w:qFormat/>
    <w:uiPriority w:val="0"/>
    <w:rPr>
      <w:rFonts w:hint="eastAsia" w:ascii="宋体" w:hAnsi="宋体" w:eastAsia="宋体" w:cs="宋体"/>
      <w:color w:val="000000"/>
      <w:sz w:val="20"/>
      <w:szCs w:val="20"/>
      <w:u w:val="none"/>
    </w:rPr>
  </w:style>
  <w:style w:type="paragraph" w:customStyle="1" w:styleId="42">
    <w:name w:val="样式 行距: 固定值 28.9 磅"/>
    <w:basedOn w:val="1"/>
    <w:qFormat/>
    <w:uiPriority w:val="0"/>
    <w:pPr>
      <w:spacing w:line="578" w:lineRule="exact"/>
    </w:pPr>
    <w:rPr>
      <w:rFonts w:ascii="等线" w:hAnsi="等线" w:eastAsia="等线"/>
    </w:rPr>
  </w:style>
  <w:style w:type="character" w:customStyle="1" w:styleId="43">
    <w:name w:val="font21"/>
    <w:basedOn w:val="1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4809</Words>
  <Characters>5315</Characters>
  <Lines>75</Lines>
  <Paragraphs>21</Paragraphs>
  <TotalTime>11</TotalTime>
  <ScaleCrop>false</ScaleCrop>
  <LinksUpToDate>false</LinksUpToDate>
  <CharactersWithSpaces>5315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2019-08-29T08:18:00Z</dcterms:created>
  <dc:creator>Administrator</dc:creator>
  <cp:lastModifiedBy>唐青海</cp:lastModifiedBy>
  <cp:lastPrinted>2025-10-11T03:53:00Z</cp:lastPrinted>
  <dcterms:modified xsi:type="dcterms:W3CDTF">2025-11-25T02:27:35Z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A527C36532264999951524C4D9DD3DE4_13</vt:lpwstr>
  </property>
  <property fmtid="{D5CDD505-2E9C-101B-9397-08002B2CF9AE}" pid="4" name="KSOTemplateDocerSaveRecord">
    <vt:lpwstr>eyJoZGlkIjoiYzE2NzcwODNkNGY5NTMyZGY5MDI4YzgyZTI1NzkwNjAiLCJ1c2VySWQiOiIyNzQwNjA5MTEifQ==</vt:lpwstr>
  </property>
</Properties>
</file>