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4FD2B">
      <w:pPr>
        <w:spacing w:beforeLines="50" w:afterLines="50" w:line="600" w:lineRule="exact"/>
        <w:jc w:val="center"/>
        <w:outlineLvl w:val="0"/>
        <w:rPr>
          <w:rFonts w:ascii="方正小标宋简体" w:hAnsi="方正小标宋简体" w:eastAsia="方正小标宋简体" w:cs="方正小标宋简体"/>
          <w:b/>
          <w:color w:val="auto"/>
          <w:spacing w:val="0"/>
          <w:sz w:val="36"/>
          <w:szCs w:val="36"/>
          <w:highlight w:val="none"/>
        </w:rPr>
      </w:pPr>
      <w:bookmarkStart w:id="0" w:name="_Toc22206"/>
      <w:bookmarkStart w:id="1" w:name="_Toc12613"/>
      <w:bookmarkStart w:id="2" w:name="_Toc25178"/>
      <w:bookmarkStart w:id="3" w:name="_Toc1862"/>
      <w:bookmarkStart w:id="4" w:name="_Toc4686"/>
      <w:r>
        <w:rPr>
          <w:rFonts w:ascii="方正小标宋简体" w:hAnsi="方正小标宋简体" w:eastAsia="方正小标宋简体" w:cs="方正小标宋简体"/>
          <w:b/>
          <w:color w:val="auto"/>
          <w:spacing w:val="-6"/>
          <w:sz w:val="36"/>
          <w:szCs w:val="36"/>
          <w:highlight w:val="none"/>
        </w:rPr>
        <w:t>202</w:t>
      </w:r>
      <w:r>
        <w:rPr>
          <w:rFonts w:hint="eastAsia" w:ascii="方正小标宋简体" w:hAnsi="方正小标宋简体" w:eastAsia="方正小标宋简体" w:cs="方正小标宋简体"/>
          <w:b/>
          <w:color w:val="auto"/>
          <w:spacing w:val="-6"/>
          <w:sz w:val="36"/>
          <w:szCs w:val="36"/>
          <w:highlight w:val="none"/>
          <w:lang w:val="en-US" w:eastAsia="zh-CN"/>
        </w:rPr>
        <w:t>4</w:t>
      </w:r>
      <w:r>
        <w:rPr>
          <w:rFonts w:hint="eastAsia" w:ascii="方正小标宋简体" w:hAnsi="方正小标宋简体" w:eastAsia="方正小标宋简体" w:cs="方正小标宋简体"/>
          <w:b/>
          <w:color w:val="auto"/>
          <w:spacing w:val="-6"/>
          <w:sz w:val="36"/>
          <w:szCs w:val="36"/>
          <w:highlight w:val="none"/>
        </w:rPr>
        <w:t>年度南京市绿化园林局</w:t>
      </w:r>
      <w:r>
        <w:rPr>
          <w:rFonts w:hint="eastAsia" w:ascii="方正小标宋简体" w:hAnsi="方正小标宋简体" w:eastAsia="方正小标宋简体" w:cs="方正小标宋简体"/>
          <w:b/>
          <w:color w:val="auto"/>
          <w:spacing w:val="-6"/>
          <w:sz w:val="36"/>
          <w:szCs w:val="36"/>
          <w:highlight w:val="none"/>
          <w:lang w:eastAsia="zh-CN"/>
        </w:rPr>
        <w:t>部门</w:t>
      </w:r>
      <w:r>
        <w:rPr>
          <w:rFonts w:hint="eastAsia" w:ascii="方正小标宋简体" w:hAnsi="方正小标宋简体" w:eastAsia="方正小标宋简体" w:cs="方正小标宋简体"/>
          <w:b/>
          <w:color w:val="auto"/>
          <w:spacing w:val="-6"/>
          <w:sz w:val="36"/>
          <w:szCs w:val="36"/>
          <w:highlight w:val="none"/>
        </w:rPr>
        <w:t>整体</w:t>
      </w:r>
      <w:bookmarkEnd w:id="0"/>
      <w:bookmarkEnd w:id="1"/>
      <w:bookmarkEnd w:id="2"/>
      <w:bookmarkEnd w:id="3"/>
      <w:bookmarkEnd w:id="4"/>
      <w:r>
        <w:rPr>
          <w:rFonts w:hint="eastAsia" w:ascii="方正小标宋简体" w:hAnsi="方正小标宋简体" w:eastAsia="方正小标宋简体" w:cs="方正小标宋简体"/>
          <w:b/>
          <w:color w:val="auto"/>
          <w:spacing w:val="-6"/>
          <w:sz w:val="36"/>
          <w:szCs w:val="36"/>
          <w:highlight w:val="none"/>
        </w:rPr>
        <w:t>预算绩效自评价报告</w:t>
      </w:r>
    </w:p>
    <w:p w14:paraId="2A89B127">
      <w:pPr>
        <w:widowControl w:val="0"/>
        <w:tabs>
          <w:tab w:val="left" w:pos="624"/>
          <w:tab w:val="left" w:pos="669"/>
        </w:tabs>
        <w:overflowPunct/>
        <w:autoSpaceDE/>
        <w:autoSpaceDN/>
        <w:adjustRightInd/>
        <w:spacing w:line="560" w:lineRule="exact"/>
        <w:ind w:firstLine="632" w:firstLineChars="200"/>
        <w:textAlignment w:val="auto"/>
        <w:outlineLvl w:val="0"/>
        <w:rPr>
          <w:rFonts w:ascii="仿宋_GB2312" w:cs="仿宋_GB2312"/>
          <w:b/>
          <w:bCs/>
          <w:color w:val="auto"/>
          <w:szCs w:val="32"/>
          <w:highlight w:val="none"/>
        </w:rPr>
      </w:pPr>
      <w:bookmarkStart w:id="5" w:name="_Toc28763_WPSOffice_Level1"/>
      <w:bookmarkStart w:id="6" w:name="_Toc31297_WPSOffice_Level1"/>
      <w:bookmarkStart w:id="7" w:name="_Toc20466"/>
      <w:r>
        <w:rPr>
          <w:rFonts w:hint="eastAsia" w:ascii="黑体" w:hAnsi="黑体" w:eastAsia="黑体" w:cs="黑体"/>
          <w:color w:val="auto"/>
          <w:szCs w:val="32"/>
          <w:highlight w:val="none"/>
        </w:rPr>
        <w:t>一、</w:t>
      </w:r>
      <w:bookmarkEnd w:id="5"/>
      <w:bookmarkEnd w:id="6"/>
      <w:r>
        <w:rPr>
          <w:rFonts w:hint="eastAsia" w:ascii="黑体" w:hAnsi="黑体" w:eastAsia="黑体" w:cs="黑体"/>
          <w:color w:val="auto"/>
          <w:szCs w:val="32"/>
          <w:highlight w:val="none"/>
        </w:rPr>
        <w:t>部门概况</w:t>
      </w:r>
      <w:bookmarkEnd w:id="7"/>
    </w:p>
    <w:p w14:paraId="698D74F1">
      <w:pPr>
        <w:widowControl w:val="0"/>
        <w:overflowPunct/>
        <w:autoSpaceDE/>
        <w:autoSpaceDN/>
        <w:adjustRightInd/>
        <w:spacing w:line="560" w:lineRule="exact"/>
        <w:ind w:firstLine="632" w:firstLineChars="200"/>
        <w:textAlignment w:val="auto"/>
        <w:outlineLvl w:val="2"/>
        <w:rPr>
          <w:rFonts w:ascii="Times New Roman" w:hAnsi="Times New Roman" w:eastAsia="方正仿宋_GBK" w:cs="Times New Roman"/>
          <w:b/>
          <w:bCs w:val="0"/>
          <w:color w:val="auto"/>
          <w:szCs w:val="32"/>
          <w:highlight w:val="none"/>
        </w:rPr>
      </w:pPr>
      <w:r>
        <w:rPr>
          <w:rFonts w:hint="eastAsia" w:ascii="Times New Roman" w:hAnsi="Times New Roman" w:eastAsia="方正仿宋_GBK" w:cs="Times New Roman"/>
          <w:b/>
          <w:bCs w:val="0"/>
          <w:color w:val="auto"/>
          <w:szCs w:val="32"/>
          <w:highlight w:val="none"/>
        </w:rPr>
        <w:t>（一）基本情况</w:t>
      </w:r>
    </w:p>
    <w:p w14:paraId="576922BA">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Cs w:val="0"/>
          <w:color w:val="auto"/>
          <w:szCs w:val="32"/>
          <w:highlight w:val="none"/>
        </w:rPr>
      </w:pPr>
      <w:r>
        <w:rPr>
          <w:rFonts w:hint="eastAsia" w:ascii="Times New Roman" w:hAnsi="Times New Roman" w:eastAsia="方正仿宋_GBK" w:cs="Times New Roman"/>
          <w:bCs w:val="0"/>
          <w:color w:val="auto"/>
          <w:szCs w:val="32"/>
          <w:highlight w:val="none"/>
        </w:rPr>
        <w:t>根据《市政府办公厅关于印发南京市绿化园林局主要职责内设机构和人员编制规定的通知》（宁政办发〔</w:t>
      </w:r>
      <w:r>
        <w:rPr>
          <w:rFonts w:ascii="Times New Roman" w:hAnsi="Times New Roman" w:eastAsia="方正仿宋_GBK" w:cs="Times New Roman"/>
          <w:bCs w:val="0"/>
          <w:color w:val="auto"/>
          <w:szCs w:val="32"/>
          <w:highlight w:val="none"/>
        </w:rPr>
        <w:t>2015</w:t>
      </w:r>
      <w:r>
        <w:rPr>
          <w:rFonts w:hint="eastAsia" w:ascii="Times New Roman" w:hAnsi="Times New Roman" w:eastAsia="方正仿宋_GBK" w:cs="Times New Roman"/>
          <w:bCs w:val="0"/>
          <w:color w:val="auto"/>
          <w:szCs w:val="32"/>
          <w:highlight w:val="none"/>
        </w:rPr>
        <w:t>〕</w:t>
      </w:r>
      <w:r>
        <w:rPr>
          <w:rFonts w:ascii="Times New Roman" w:hAnsi="Times New Roman" w:eastAsia="方正仿宋_GBK" w:cs="Times New Roman"/>
          <w:bCs w:val="0"/>
          <w:color w:val="auto"/>
          <w:szCs w:val="32"/>
          <w:highlight w:val="none"/>
        </w:rPr>
        <w:t>150</w:t>
      </w:r>
      <w:r>
        <w:rPr>
          <w:rFonts w:hint="eastAsia" w:ascii="Times New Roman" w:hAnsi="Times New Roman" w:eastAsia="方正仿宋_GBK" w:cs="Times New Roman"/>
          <w:bCs w:val="0"/>
          <w:color w:val="auto"/>
          <w:szCs w:val="32"/>
          <w:highlight w:val="none"/>
        </w:rPr>
        <w:t>号）文件精神，设立市绿化园林局，挂南京市林业局牌子，为市政府工作部门，承担全市绿化园林和林业规划建设管理的责任。</w:t>
      </w:r>
    </w:p>
    <w:p w14:paraId="7303CC58">
      <w:pPr>
        <w:widowControl w:val="0"/>
        <w:overflowPunct/>
        <w:autoSpaceDE/>
        <w:autoSpaceDN/>
        <w:adjustRightInd/>
        <w:spacing w:line="560" w:lineRule="exact"/>
        <w:ind w:firstLine="632" w:firstLineChars="200"/>
        <w:textAlignment w:val="auto"/>
        <w:rPr>
          <w:rFonts w:hint="eastAsia" w:ascii="Times New Roman" w:hAnsi="Times New Roman" w:eastAsia="方正仿宋_GBK" w:cs="Times New Roman"/>
          <w:bCs w:val="0"/>
          <w:color w:val="auto"/>
          <w:szCs w:val="32"/>
          <w:highlight w:val="none"/>
        </w:rPr>
      </w:pPr>
      <w:r>
        <w:rPr>
          <w:rFonts w:hint="eastAsia" w:ascii="Times New Roman" w:hAnsi="Times New Roman" w:eastAsia="方正仿宋_GBK" w:cs="Times New Roman"/>
          <w:bCs w:val="0"/>
          <w:color w:val="auto"/>
          <w:szCs w:val="32"/>
          <w:highlight w:val="none"/>
        </w:rPr>
        <w:t>根据《关于优化调整市绿化园林局职能配置、内设机构和人员编制规定的通知》（宁编发〔</w:t>
      </w:r>
      <w:r>
        <w:rPr>
          <w:rFonts w:ascii="Times New Roman" w:hAnsi="Times New Roman" w:eastAsia="方正仿宋_GBK" w:cs="Times New Roman"/>
          <w:bCs w:val="0"/>
          <w:color w:val="auto"/>
          <w:szCs w:val="32"/>
          <w:highlight w:val="none"/>
        </w:rPr>
        <w:t>2019</w:t>
      </w:r>
      <w:r>
        <w:rPr>
          <w:rFonts w:hint="eastAsia" w:ascii="Times New Roman" w:hAnsi="Times New Roman" w:eastAsia="方正仿宋_GBK" w:cs="Times New Roman"/>
          <w:bCs w:val="0"/>
          <w:color w:val="auto"/>
          <w:szCs w:val="32"/>
          <w:highlight w:val="none"/>
        </w:rPr>
        <w:t>〕</w:t>
      </w:r>
      <w:r>
        <w:rPr>
          <w:rFonts w:ascii="Times New Roman" w:hAnsi="Times New Roman" w:eastAsia="方正仿宋_GBK" w:cs="Times New Roman"/>
          <w:bCs w:val="0"/>
          <w:color w:val="auto"/>
          <w:szCs w:val="32"/>
          <w:highlight w:val="none"/>
        </w:rPr>
        <w:t>2</w:t>
      </w:r>
      <w:r>
        <w:rPr>
          <w:rFonts w:hint="eastAsia" w:ascii="Times New Roman" w:hAnsi="Times New Roman" w:eastAsia="方正仿宋_GBK" w:cs="Times New Roman"/>
          <w:bCs w:val="0"/>
          <w:color w:val="auto"/>
          <w:szCs w:val="32"/>
          <w:highlight w:val="none"/>
        </w:rPr>
        <w:t>号）</w:t>
      </w:r>
      <w:r>
        <w:rPr>
          <w:rFonts w:hint="eastAsia" w:ascii="Times New Roman" w:hAnsi="Times New Roman" w:eastAsia="方正仿宋_GBK" w:cs="Times New Roman"/>
          <w:bCs w:val="0"/>
          <w:color w:val="auto"/>
          <w:szCs w:val="32"/>
          <w:highlight w:val="none"/>
          <w:lang w:eastAsia="zh-CN"/>
        </w:rPr>
        <w:t>、《关于明确市绿化园林局机构编制有关事项的通知》（</w:t>
      </w:r>
      <w:r>
        <w:rPr>
          <w:rFonts w:hint="eastAsia" w:ascii="Times New Roman" w:hAnsi="Times New Roman" w:eastAsia="方正仿宋_GBK" w:cs="Times New Roman"/>
          <w:bCs w:val="0"/>
          <w:color w:val="auto"/>
          <w:szCs w:val="32"/>
          <w:highlight w:val="none"/>
        </w:rPr>
        <w:t>宁编</w:t>
      </w:r>
      <w:r>
        <w:rPr>
          <w:rFonts w:hint="eastAsia" w:ascii="Times New Roman" w:hAnsi="Times New Roman" w:eastAsia="方正仿宋_GBK" w:cs="Times New Roman"/>
          <w:bCs w:val="0"/>
          <w:color w:val="auto"/>
          <w:szCs w:val="32"/>
          <w:highlight w:val="none"/>
          <w:lang w:eastAsia="zh-CN"/>
        </w:rPr>
        <w:t>办</w:t>
      </w:r>
      <w:r>
        <w:rPr>
          <w:rFonts w:hint="eastAsia" w:ascii="Times New Roman" w:hAnsi="Times New Roman" w:eastAsia="方正仿宋_GBK" w:cs="Times New Roman"/>
          <w:bCs w:val="0"/>
          <w:color w:val="auto"/>
          <w:szCs w:val="32"/>
          <w:highlight w:val="none"/>
        </w:rPr>
        <w:t>发〔</w:t>
      </w:r>
      <w:r>
        <w:rPr>
          <w:rFonts w:ascii="Times New Roman" w:hAnsi="Times New Roman" w:eastAsia="方正仿宋_GBK" w:cs="Times New Roman"/>
          <w:bCs w:val="0"/>
          <w:color w:val="auto"/>
          <w:szCs w:val="32"/>
          <w:highlight w:val="none"/>
        </w:rPr>
        <w:t>20</w:t>
      </w:r>
      <w:r>
        <w:rPr>
          <w:rFonts w:hint="eastAsia" w:ascii="Times New Roman" w:hAnsi="Times New Roman" w:eastAsia="方正仿宋_GBK" w:cs="Times New Roman"/>
          <w:bCs w:val="0"/>
          <w:color w:val="auto"/>
          <w:szCs w:val="32"/>
          <w:highlight w:val="none"/>
          <w:lang w:val="en-US" w:eastAsia="zh-CN"/>
        </w:rPr>
        <w:t>24</w:t>
      </w:r>
      <w:r>
        <w:rPr>
          <w:rFonts w:hint="eastAsia" w:ascii="Times New Roman" w:hAnsi="Times New Roman" w:eastAsia="方正仿宋_GBK" w:cs="Times New Roman"/>
          <w:bCs w:val="0"/>
          <w:color w:val="auto"/>
          <w:szCs w:val="32"/>
          <w:highlight w:val="none"/>
        </w:rPr>
        <w:t>〕</w:t>
      </w:r>
      <w:r>
        <w:rPr>
          <w:rFonts w:ascii="Times New Roman" w:hAnsi="Times New Roman" w:eastAsia="方正仿宋_GBK" w:cs="Times New Roman"/>
          <w:bCs w:val="0"/>
          <w:color w:val="auto"/>
          <w:szCs w:val="32"/>
          <w:highlight w:val="none"/>
        </w:rPr>
        <w:t>2</w:t>
      </w:r>
      <w:r>
        <w:rPr>
          <w:rFonts w:hint="eastAsia" w:ascii="Times New Roman" w:hAnsi="Times New Roman" w:eastAsia="方正仿宋_GBK" w:cs="Times New Roman"/>
          <w:bCs w:val="0"/>
          <w:color w:val="auto"/>
          <w:szCs w:val="32"/>
          <w:highlight w:val="none"/>
          <w:lang w:val="en-US" w:eastAsia="zh-CN"/>
        </w:rPr>
        <w:t>46</w:t>
      </w:r>
      <w:r>
        <w:rPr>
          <w:rFonts w:hint="eastAsia" w:ascii="Times New Roman" w:hAnsi="Times New Roman" w:eastAsia="方正仿宋_GBK" w:cs="Times New Roman"/>
          <w:bCs w:val="0"/>
          <w:color w:val="auto"/>
          <w:szCs w:val="32"/>
          <w:highlight w:val="none"/>
        </w:rPr>
        <w:t>号</w:t>
      </w:r>
      <w:r>
        <w:rPr>
          <w:rFonts w:hint="eastAsia" w:ascii="Times New Roman" w:hAnsi="Times New Roman" w:eastAsia="方正仿宋_GBK" w:cs="Times New Roman"/>
          <w:bCs w:val="0"/>
          <w:color w:val="auto"/>
          <w:szCs w:val="32"/>
          <w:highlight w:val="none"/>
          <w:lang w:eastAsia="zh-CN"/>
        </w:rPr>
        <w:t>）</w:t>
      </w:r>
      <w:r>
        <w:rPr>
          <w:rFonts w:hint="eastAsia" w:eastAsia="方正仿宋_GBK" w:cs="Times New Roman"/>
          <w:bCs w:val="0"/>
          <w:color w:val="auto"/>
          <w:szCs w:val="32"/>
          <w:highlight w:val="none"/>
          <w:lang w:eastAsia="zh-CN"/>
        </w:rPr>
        <w:t>等文件精神</w:t>
      </w:r>
      <w:r>
        <w:rPr>
          <w:rFonts w:hint="eastAsia" w:ascii="Times New Roman" w:hAnsi="Times New Roman" w:eastAsia="方正仿宋_GBK" w:cs="Times New Roman"/>
          <w:bCs w:val="0"/>
          <w:color w:val="auto"/>
          <w:szCs w:val="32"/>
          <w:highlight w:val="none"/>
        </w:rPr>
        <w:t>，对市绿化园林局的职能配置、内设机构和人员编制进行了优化调整。</w:t>
      </w:r>
    </w:p>
    <w:p w14:paraId="738DE769">
      <w:pPr>
        <w:widowControl w:val="0"/>
        <w:tabs>
          <w:tab w:val="left" w:pos="624"/>
          <w:tab w:val="left" w:pos="669"/>
        </w:tabs>
        <w:overflowPunct/>
        <w:autoSpaceDE/>
        <w:autoSpaceDN/>
        <w:adjustRightInd/>
        <w:spacing w:line="560" w:lineRule="exact"/>
        <w:ind w:firstLine="632" w:firstLineChars="200"/>
        <w:textAlignment w:val="auto"/>
        <w:outlineLvl w:val="2"/>
        <w:rPr>
          <w:rFonts w:ascii="Times New Roman" w:hAnsi="Times New Roman" w:eastAsia="方正仿宋_GBK" w:cs="Times New Roman"/>
          <w:b/>
          <w:bCs w:val="0"/>
          <w:color w:val="auto"/>
          <w:szCs w:val="32"/>
          <w:highlight w:val="none"/>
        </w:rPr>
      </w:pPr>
      <w:r>
        <w:rPr>
          <w:rFonts w:hint="eastAsia" w:ascii="Times New Roman" w:hAnsi="Times New Roman" w:eastAsia="方正仿宋_GBK" w:cs="Times New Roman"/>
          <w:b/>
          <w:bCs w:val="0"/>
          <w:color w:val="auto"/>
          <w:szCs w:val="32"/>
          <w:highlight w:val="none"/>
        </w:rPr>
        <w:t>（二）部门职责</w:t>
      </w:r>
    </w:p>
    <w:p w14:paraId="707F8B7C">
      <w:pPr>
        <w:widowControl w:val="0"/>
        <w:overflowPunct/>
        <w:autoSpaceDE/>
        <w:autoSpaceDN/>
        <w:adjustRightInd/>
        <w:spacing w:line="560" w:lineRule="exact"/>
        <w:ind w:firstLine="632" w:firstLineChars="200"/>
        <w:textAlignment w:val="auto"/>
        <w:rPr>
          <w:rFonts w:hint="eastAsia" w:ascii="Times New Roman" w:hAnsi="Times New Roman" w:eastAsia="方正仿宋_GBK" w:cs="Times New Roman"/>
          <w:bCs w:val="0"/>
          <w:color w:val="auto"/>
          <w:szCs w:val="32"/>
          <w:highlight w:val="none"/>
        </w:rPr>
      </w:pPr>
      <w:r>
        <w:rPr>
          <w:rFonts w:hint="eastAsia" w:ascii="Times New Roman" w:hAnsi="Times New Roman" w:eastAsia="方正仿宋_GBK" w:cs="Times New Roman"/>
          <w:bCs w:val="0"/>
          <w:color w:val="auto"/>
          <w:szCs w:val="32"/>
          <w:highlight w:val="none"/>
        </w:rPr>
        <w:t>1.研究制定全市绿化园林和林业发展战略、中长期发展规划和年度计划，统筹协调年度计划的实施；指导各区绿化园林和林业工作。</w:t>
      </w:r>
    </w:p>
    <w:p w14:paraId="622FA809">
      <w:pPr>
        <w:widowControl w:val="0"/>
        <w:overflowPunct/>
        <w:autoSpaceDE/>
        <w:autoSpaceDN/>
        <w:adjustRightInd/>
        <w:spacing w:line="560" w:lineRule="exact"/>
        <w:ind w:firstLine="632" w:firstLineChars="200"/>
        <w:textAlignment w:val="auto"/>
        <w:rPr>
          <w:rFonts w:hint="eastAsia" w:ascii="Times New Roman" w:hAnsi="Times New Roman" w:eastAsia="方正仿宋_GBK" w:cs="Times New Roman"/>
          <w:bCs w:val="0"/>
          <w:color w:val="auto"/>
          <w:szCs w:val="32"/>
          <w:highlight w:val="none"/>
        </w:rPr>
      </w:pPr>
      <w:r>
        <w:rPr>
          <w:rFonts w:hint="eastAsia" w:ascii="Times New Roman" w:hAnsi="Times New Roman" w:eastAsia="方正仿宋_GBK" w:cs="Times New Roman"/>
          <w:bCs w:val="0"/>
          <w:color w:val="auto"/>
          <w:szCs w:val="32"/>
          <w:highlight w:val="none"/>
        </w:rPr>
        <w:t>2.贯彻执行国家、省、市有关绿化园林和林业工作的法律法规和方针政策；起草相关地方性法规、规章草案，制定规范性文件、标准及技术规范等；推进绿化园林和林业改革工作；加强与其他综合执法部门的配合，指导绿化园林相对集中行政处罚权工作。</w:t>
      </w:r>
    </w:p>
    <w:p w14:paraId="4A253BCF">
      <w:pPr>
        <w:widowControl w:val="0"/>
        <w:overflowPunct/>
        <w:autoSpaceDE/>
        <w:autoSpaceDN/>
        <w:adjustRightInd/>
        <w:spacing w:line="560" w:lineRule="exact"/>
        <w:ind w:firstLine="632" w:firstLineChars="200"/>
        <w:textAlignment w:val="auto"/>
        <w:rPr>
          <w:rFonts w:hint="eastAsia" w:ascii="Times New Roman" w:hAnsi="Times New Roman" w:eastAsia="方正仿宋_GBK" w:cs="Times New Roman"/>
          <w:bCs w:val="0"/>
          <w:color w:val="auto"/>
          <w:szCs w:val="32"/>
          <w:highlight w:val="none"/>
        </w:rPr>
      </w:pPr>
      <w:r>
        <w:rPr>
          <w:rFonts w:hint="eastAsia" w:ascii="Times New Roman" w:hAnsi="Times New Roman" w:eastAsia="方正仿宋_GBK" w:cs="Times New Roman"/>
          <w:bCs w:val="0"/>
          <w:color w:val="auto"/>
          <w:szCs w:val="32"/>
          <w:highlight w:val="none"/>
        </w:rPr>
        <w:t>3.会同市规划和自然资源局组织编制城市绿地系统规划；负责组织编制绿化园林和林业专项规划及相关详细规划；按照职责分工，依法负责城市“绿线”相关监督管理工作。</w:t>
      </w:r>
    </w:p>
    <w:p w14:paraId="61E426C0">
      <w:pPr>
        <w:widowControl w:val="0"/>
        <w:overflowPunct/>
        <w:autoSpaceDE/>
        <w:autoSpaceDN/>
        <w:adjustRightInd/>
        <w:spacing w:line="560" w:lineRule="exact"/>
        <w:ind w:firstLine="632" w:firstLineChars="200"/>
        <w:textAlignment w:val="auto"/>
        <w:rPr>
          <w:rFonts w:hint="eastAsia" w:ascii="Times New Roman" w:hAnsi="Times New Roman" w:eastAsia="方正仿宋_GBK" w:cs="Times New Roman"/>
          <w:bCs w:val="0"/>
          <w:color w:val="auto"/>
          <w:szCs w:val="32"/>
          <w:highlight w:val="none"/>
        </w:rPr>
      </w:pPr>
      <w:r>
        <w:rPr>
          <w:rFonts w:hint="eastAsia" w:ascii="Times New Roman" w:hAnsi="Times New Roman" w:eastAsia="方正仿宋_GBK" w:cs="Times New Roman"/>
          <w:bCs w:val="0"/>
          <w:color w:val="auto"/>
          <w:szCs w:val="32"/>
          <w:highlight w:val="none"/>
        </w:rPr>
        <w:t>4.负责制定绿化园林养护标准、养护定额并监督管理；配合市城乡建设委员会、市财政局编制全市绿化园林规划、建设和维护管理资金计划，并负责管理协调；依法监管绿化园林和林业规划、建设和维护管理资金及其他相关资金的使用；指导和监督本系统的财务、统计、审计工作。</w:t>
      </w:r>
    </w:p>
    <w:p w14:paraId="41F0B6BE">
      <w:pPr>
        <w:widowControl w:val="0"/>
        <w:overflowPunct/>
        <w:autoSpaceDE/>
        <w:autoSpaceDN/>
        <w:adjustRightInd/>
        <w:spacing w:line="560" w:lineRule="exact"/>
        <w:ind w:firstLine="632" w:firstLineChars="200"/>
        <w:textAlignment w:val="auto"/>
        <w:rPr>
          <w:rFonts w:hint="eastAsia" w:ascii="Times New Roman" w:hAnsi="Times New Roman" w:eastAsia="方正仿宋_GBK" w:cs="Times New Roman"/>
          <w:bCs w:val="0"/>
          <w:color w:val="auto"/>
          <w:szCs w:val="32"/>
          <w:highlight w:val="none"/>
        </w:rPr>
      </w:pPr>
      <w:r>
        <w:rPr>
          <w:rFonts w:hint="eastAsia" w:ascii="Times New Roman" w:hAnsi="Times New Roman" w:eastAsia="方正仿宋_GBK" w:cs="Times New Roman"/>
          <w:bCs w:val="0"/>
          <w:color w:val="auto"/>
          <w:szCs w:val="32"/>
          <w:highlight w:val="none"/>
        </w:rPr>
        <w:t>5.负责制定林业相关技术标准和管理规范，提出扶持林业经济发展的财政、信贷及保险等有关政策建议；会同市财政局编制全市林业规划、建设和管理资金计划，并负责管理协调。</w:t>
      </w:r>
    </w:p>
    <w:p w14:paraId="3CBE72B0">
      <w:pPr>
        <w:widowControl w:val="0"/>
        <w:overflowPunct/>
        <w:autoSpaceDE/>
        <w:autoSpaceDN/>
        <w:adjustRightInd/>
        <w:spacing w:line="560" w:lineRule="exact"/>
        <w:ind w:firstLine="632" w:firstLineChars="200"/>
        <w:textAlignment w:val="auto"/>
        <w:rPr>
          <w:rFonts w:hint="eastAsia" w:ascii="Times New Roman" w:hAnsi="Times New Roman" w:eastAsia="方正仿宋_GBK" w:cs="Times New Roman"/>
          <w:bCs w:val="0"/>
          <w:color w:val="auto"/>
          <w:szCs w:val="32"/>
          <w:highlight w:val="none"/>
        </w:rPr>
      </w:pPr>
      <w:r>
        <w:rPr>
          <w:rFonts w:hint="eastAsia" w:ascii="Times New Roman" w:hAnsi="Times New Roman" w:eastAsia="方正仿宋_GBK" w:cs="Times New Roman"/>
          <w:bCs w:val="0"/>
          <w:color w:val="auto"/>
          <w:szCs w:val="32"/>
          <w:highlight w:val="none"/>
        </w:rPr>
        <w:t>6.统筹城乡绿化建设，负责全市绿化园林和林业建设工作；组织、指导全民义务植树、造林营林、封山育林及各类公益林建设和补偿工作；指导、规范小城镇和村庄绿化建设管理；负责绿化园林工程市场、质量和安全监督管理工作；负责协调城市雕塑相关管理。</w:t>
      </w:r>
    </w:p>
    <w:p w14:paraId="10A09CC3">
      <w:pPr>
        <w:widowControl w:val="0"/>
        <w:overflowPunct/>
        <w:autoSpaceDE/>
        <w:autoSpaceDN/>
        <w:adjustRightInd/>
        <w:spacing w:line="560" w:lineRule="exact"/>
        <w:ind w:firstLine="632" w:firstLineChars="200"/>
        <w:textAlignment w:val="auto"/>
        <w:rPr>
          <w:rFonts w:hint="eastAsia" w:ascii="Times New Roman" w:hAnsi="Times New Roman" w:eastAsia="方正仿宋_GBK" w:cs="Times New Roman"/>
          <w:bCs w:val="0"/>
          <w:color w:val="auto"/>
          <w:szCs w:val="32"/>
          <w:highlight w:val="none"/>
        </w:rPr>
      </w:pPr>
      <w:r>
        <w:rPr>
          <w:rFonts w:hint="eastAsia" w:ascii="Times New Roman" w:hAnsi="Times New Roman" w:eastAsia="方正仿宋_GBK" w:cs="Times New Roman"/>
          <w:bCs w:val="0"/>
          <w:color w:val="auto"/>
          <w:szCs w:val="32"/>
          <w:highlight w:val="none"/>
        </w:rPr>
        <w:t>7.指导协调全市自然保护区、自然遗产、地质公园、风景名胜区、城市公园、专类公园、森林公园和湿地等行业管理工作；指导所属公园景区建设和管理工作。</w:t>
      </w:r>
    </w:p>
    <w:p w14:paraId="7BBE4483">
      <w:pPr>
        <w:widowControl w:val="0"/>
        <w:overflowPunct/>
        <w:autoSpaceDE/>
        <w:autoSpaceDN/>
        <w:adjustRightInd/>
        <w:spacing w:line="560" w:lineRule="exact"/>
        <w:ind w:firstLine="632" w:firstLineChars="200"/>
        <w:textAlignment w:val="auto"/>
        <w:rPr>
          <w:rFonts w:hint="eastAsia" w:ascii="Times New Roman" w:hAnsi="Times New Roman" w:eastAsia="方正仿宋_GBK" w:cs="Times New Roman"/>
          <w:bCs w:val="0"/>
          <w:color w:val="auto"/>
          <w:szCs w:val="32"/>
          <w:highlight w:val="none"/>
        </w:rPr>
      </w:pPr>
      <w:r>
        <w:rPr>
          <w:rFonts w:hint="eastAsia" w:ascii="Times New Roman" w:hAnsi="Times New Roman" w:eastAsia="方正仿宋_GBK" w:cs="Times New Roman"/>
          <w:bCs w:val="0"/>
          <w:color w:val="auto"/>
          <w:szCs w:val="32"/>
          <w:highlight w:val="none"/>
        </w:rPr>
        <w:t>8.指导全市单位附属绿地、居住区附属绿地和生产绿地等社会绿化管理工作；开展立体绿化工作；组织、协调指导全市范围内古树名木的保护管理。</w:t>
      </w:r>
    </w:p>
    <w:p w14:paraId="7EB1B8F4">
      <w:pPr>
        <w:widowControl w:val="0"/>
        <w:overflowPunct/>
        <w:autoSpaceDE/>
        <w:autoSpaceDN/>
        <w:adjustRightInd/>
        <w:spacing w:line="560" w:lineRule="exact"/>
        <w:ind w:firstLine="632" w:firstLineChars="200"/>
        <w:textAlignment w:val="auto"/>
        <w:rPr>
          <w:rFonts w:hint="eastAsia" w:ascii="Times New Roman" w:hAnsi="Times New Roman" w:eastAsia="方正仿宋_GBK" w:cs="Times New Roman"/>
          <w:bCs w:val="0"/>
          <w:color w:val="auto"/>
          <w:szCs w:val="32"/>
          <w:highlight w:val="none"/>
        </w:rPr>
      </w:pPr>
      <w:r>
        <w:rPr>
          <w:rFonts w:hint="eastAsia" w:ascii="Times New Roman" w:hAnsi="Times New Roman" w:eastAsia="方正仿宋_GBK" w:cs="Times New Roman"/>
          <w:bCs w:val="0"/>
          <w:color w:val="auto"/>
          <w:szCs w:val="32"/>
          <w:highlight w:val="none"/>
        </w:rPr>
        <w:t>9.承担全市森林资源保护发展管理责任；指导木材行业工作；负责林业种子、苗木等相关工作；指导全市陆生野生动植物的保护和开发利用；负责全市森林植物检疫管理工作；负责林业有害物预报防治管理工作；组织、协调、指导全市林业执法工作；指导开展森林防火巡护、火源管理、防火设施建设等工作；组织指导开展森林防火宣传教育、火情监测预警、督促检查等工作。</w:t>
      </w:r>
    </w:p>
    <w:p w14:paraId="489A9AD0">
      <w:pPr>
        <w:widowControl w:val="0"/>
        <w:overflowPunct/>
        <w:autoSpaceDE/>
        <w:autoSpaceDN/>
        <w:adjustRightInd/>
        <w:spacing w:line="560" w:lineRule="exact"/>
        <w:ind w:firstLine="632" w:firstLineChars="200"/>
        <w:textAlignment w:val="auto"/>
        <w:rPr>
          <w:rFonts w:hint="eastAsia" w:ascii="Times New Roman" w:hAnsi="Times New Roman" w:eastAsia="方正仿宋_GBK" w:cs="Times New Roman"/>
          <w:bCs w:val="0"/>
          <w:color w:val="auto"/>
          <w:szCs w:val="32"/>
          <w:highlight w:val="none"/>
        </w:rPr>
      </w:pPr>
      <w:r>
        <w:rPr>
          <w:rFonts w:hint="eastAsia" w:ascii="Times New Roman" w:hAnsi="Times New Roman" w:eastAsia="方正仿宋_GBK" w:cs="Times New Roman"/>
          <w:bCs w:val="0"/>
          <w:color w:val="auto"/>
          <w:szCs w:val="32"/>
          <w:highlight w:val="none"/>
        </w:rPr>
        <w:t>10.负责改变绿化规划、绿化用地使用性质审批；负责砍伐、移植和大修剪城市树木及迁移古树名木审批；负责城市建设项目附属绿化工程设计方案审查；负责林木种子生产经营许可；负责临时占用林地审批；负责森林植物检疫证书和森林植物产地检疫合格证核准；负责陆生野生动物驯养繁殖许可证的核发；负责陆生野生动物及其产品的经营利用核准等。</w:t>
      </w:r>
    </w:p>
    <w:p w14:paraId="6E04F415">
      <w:pPr>
        <w:widowControl w:val="0"/>
        <w:overflowPunct/>
        <w:autoSpaceDE/>
        <w:autoSpaceDN/>
        <w:adjustRightInd/>
        <w:spacing w:line="560" w:lineRule="exact"/>
        <w:ind w:firstLine="632" w:firstLineChars="200"/>
        <w:textAlignment w:val="auto"/>
        <w:rPr>
          <w:rFonts w:hint="eastAsia" w:ascii="Times New Roman" w:hAnsi="Times New Roman" w:eastAsia="方正仿宋_GBK" w:cs="Times New Roman"/>
          <w:bCs w:val="0"/>
          <w:color w:val="auto"/>
          <w:szCs w:val="32"/>
          <w:highlight w:val="none"/>
        </w:rPr>
      </w:pPr>
      <w:r>
        <w:rPr>
          <w:rFonts w:hint="eastAsia" w:ascii="Times New Roman" w:hAnsi="Times New Roman" w:eastAsia="方正仿宋_GBK" w:cs="Times New Roman"/>
          <w:bCs w:val="0"/>
          <w:color w:val="auto"/>
          <w:szCs w:val="32"/>
          <w:highlight w:val="none"/>
        </w:rPr>
        <w:t>11.引导绿化园林和林业产业发展；拟订绿化园林和林业产业发展规划、政策措施并组织实施；指导林果、花卉、苗木等产业基地建设和综合开发利用；制定绿化园林和林业科技发展规划；组织开展、指导绿化园林和林业科技项目的研究和成果转化推广、合作交流。</w:t>
      </w:r>
    </w:p>
    <w:p w14:paraId="0AD4AA33">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Cs w:val="0"/>
          <w:color w:val="auto"/>
          <w:szCs w:val="32"/>
          <w:highlight w:val="none"/>
        </w:rPr>
      </w:pPr>
      <w:r>
        <w:rPr>
          <w:rFonts w:hint="eastAsia" w:ascii="Times New Roman" w:hAnsi="Times New Roman" w:eastAsia="方正仿宋_GBK" w:cs="Times New Roman"/>
          <w:bCs w:val="0"/>
          <w:color w:val="auto"/>
          <w:szCs w:val="32"/>
          <w:highlight w:val="none"/>
        </w:rPr>
        <w:t>12.承办市委、市政府交办的其他事项。</w:t>
      </w:r>
    </w:p>
    <w:p w14:paraId="6799100E">
      <w:pPr>
        <w:widowControl w:val="0"/>
        <w:overflowPunct/>
        <w:autoSpaceDE/>
        <w:autoSpaceDN/>
        <w:adjustRightInd/>
        <w:spacing w:line="560" w:lineRule="exact"/>
        <w:ind w:firstLine="632" w:firstLineChars="200"/>
        <w:textAlignment w:val="auto"/>
        <w:outlineLvl w:val="2"/>
        <w:rPr>
          <w:rFonts w:ascii="Times New Roman" w:hAnsi="Times New Roman" w:eastAsia="方正仿宋_GBK" w:cs="Times New Roman"/>
          <w:b/>
          <w:bCs w:val="0"/>
          <w:color w:val="auto"/>
          <w:szCs w:val="32"/>
          <w:highlight w:val="none"/>
        </w:rPr>
      </w:pPr>
      <w:r>
        <w:rPr>
          <w:rFonts w:hint="eastAsia" w:ascii="Times New Roman" w:hAnsi="Times New Roman" w:eastAsia="方正仿宋_GBK" w:cs="Times New Roman"/>
          <w:b/>
          <w:bCs w:val="0"/>
          <w:color w:val="auto"/>
          <w:szCs w:val="32"/>
          <w:highlight w:val="none"/>
        </w:rPr>
        <w:t>（三）部门内设机构</w:t>
      </w:r>
    </w:p>
    <w:p w14:paraId="7DB057A4">
      <w:pPr>
        <w:widowControl w:val="0"/>
        <w:overflowPunct/>
        <w:autoSpaceDE/>
        <w:autoSpaceDN/>
        <w:adjustRightInd/>
        <w:spacing w:line="560" w:lineRule="exact"/>
        <w:ind w:firstLine="632" w:firstLineChars="200"/>
        <w:textAlignment w:val="auto"/>
        <w:rPr>
          <w:rFonts w:hint="eastAsia" w:ascii="Times New Roman" w:hAnsi="Times New Roman" w:eastAsia="方正仿宋_GBK" w:cs="Times New Roman"/>
          <w:bCs w:val="0"/>
          <w:color w:val="auto"/>
          <w:szCs w:val="32"/>
          <w:highlight w:val="none"/>
        </w:rPr>
      </w:pPr>
      <w:r>
        <w:rPr>
          <w:rFonts w:hint="eastAsia" w:ascii="Times New Roman" w:hAnsi="Times New Roman" w:eastAsia="方正仿宋_GBK" w:cs="Times New Roman"/>
          <w:bCs w:val="0"/>
          <w:color w:val="auto"/>
          <w:szCs w:val="32"/>
          <w:highlight w:val="none"/>
        </w:rPr>
        <w:t>根据部门职责分工，市绿化园林局内设办公室（财务处）、政策法规处、规划建设处、城市绿化管理处（科技处）、公园管理处（自然保护地管理处）、林业发展处（湿地保护处）、林政资源处、行政审批服务处、人事教育处、城乡绿化综合协调处，另设机关党委（离退休干部处）。</w:t>
      </w:r>
    </w:p>
    <w:p w14:paraId="61A10350">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bCs w:val="0"/>
          <w:color w:val="auto"/>
          <w:szCs w:val="32"/>
          <w:highlight w:val="none"/>
        </w:rPr>
      </w:pPr>
      <w:r>
        <w:rPr>
          <w:rFonts w:hint="eastAsia" w:ascii="Times New Roman" w:hAnsi="Times New Roman" w:eastAsia="方正仿宋_GBK" w:cs="Times New Roman"/>
          <w:b/>
          <w:bCs w:val="0"/>
          <w:color w:val="auto"/>
          <w:szCs w:val="32"/>
          <w:highlight w:val="none"/>
        </w:rPr>
        <w:t>（四）人员情况</w:t>
      </w:r>
    </w:p>
    <w:p w14:paraId="2AE6C2F6">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bCs w:val="0"/>
          <w:color w:val="auto"/>
          <w:szCs w:val="32"/>
          <w:highlight w:val="none"/>
        </w:rPr>
      </w:pPr>
      <w:bookmarkStart w:id="8" w:name="_Toc29472"/>
      <w:r>
        <w:rPr>
          <w:rFonts w:hint="eastAsia" w:ascii="Times New Roman" w:hAnsi="Times New Roman" w:eastAsia="方正仿宋_GBK" w:cs="Times New Roman"/>
          <w:bCs w:val="0"/>
          <w:color w:val="auto"/>
          <w:szCs w:val="32"/>
          <w:highlight w:val="none"/>
        </w:rPr>
        <w:t>核定机关行政编制6</w:t>
      </w:r>
      <w:r>
        <w:rPr>
          <w:rFonts w:hint="eastAsia" w:eastAsia="方正仿宋_GBK" w:cs="Times New Roman"/>
          <w:bCs w:val="0"/>
          <w:color w:val="auto"/>
          <w:szCs w:val="32"/>
          <w:highlight w:val="none"/>
          <w:lang w:val="en-US" w:eastAsia="zh-CN"/>
        </w:rPr>
        <w:t>3</w:t>
      </w:r>
      <w:r>
        <w:rPr>
          <w:rFonts w:hint="eastAsia" w:ascii="Times New Roman" w:hAnsi="Times New Roman" w:eastAsia="方正仿宋_GBK" w:cs="Times New Roman"/>
          <w:bCs w:val="0"/>
          <w:color w:val="auto"/>
          <w:szCs w:val="32"/>
          <w:highlight w:val="none"/>
        </w:rPr>
        <w:t>名，截至2024年底实有人员共计6</w:t>
      </w:r>
      <w:r>
        <w:rPr>
          <w:rFonts w:hint="eastAsia" w:eastAsia="方正仿宋_GBK" w:cs="Times New Roman"/>
          <w:bCs w:val="0"/>
          <w:color w:val="auto"/>
          <w:szCs w:val="32"/>
          <w:highlight w:val="none"/>
          <w:lang w:val="en-US" w:eastAsia="zh-CN"/>
        </w:rPr>
        <w:t>6</w:t>
      </w:r>
      <w:r>
        <w:rPr>
          <w:rFonts w:hint="eastAsia" w:ascii="Times New Roman" w:hAnsi="Times New Roman" w:eastAsia="方正仿宋_GBK" w:cs="Times New Roman"/>
          <w:bCs w:val="0"/>
          <w:color w:val="auto"/>
          <w:szCs w:val="32"/>
          <w:highlight w:val="none"/>
        </w:rPr>
        <w:t>人，其中：行政人员6</w:t>
      </w:r>
      <w:r>
        <w:rPr>
          <w:rFonts w:hint="eastAsia" w:eastAsia="方正仿宋_GBK" w:cs="Times New Roman"/>
          <w:bCs w:val="0"/>
          <w:color w:val="auto"/>
          <w:szCs w:val="32"/>
          <w:highlight w:val="none"/>
          <w:lang w:val="en-US" w:eastAsia="zh-CN"/>
        </w:rPr>
        <w:t>4</w:t>
      </w:r>
      <w:r>
        <w:rPr>
          <w:rFonts w:hint="eastAsia" w:ascii="Times New Roman" w:hAnsi="Times New Roman" w:eastAsia="方正仿宋_GBK" w:cs="Times New Roman"/>
          <w:bCs w:val="0"/>
          <w:color w:val="auto"/>
          <w:szCs w:val="32"/>
          <w:highlight w:val="none"/>
        </w:rPr>
        <w:t>人、劳务派遣2人。</w:t>
      </w:r>
    </w:p>
    <w:p w14:paraId="00E56EED">
      <w:pPr>
        <w:widowControl w:val="0"/>
        <w:overflowPunct/>
        <w:autoSpaceDE/>
        <w:autoSpaceDN/>
        <w:adjustRightInd/>
        <w:spacing w:line="560" w:lineRule="exact"/>
        <w:ind w:firstLine="632" w:firstLineChars="200"/>
        <w:textAlignment w:val="auto"/>
        <w:outlineLvl w:val="1"/>
        <w:rPr>
          <w:rFonts w:ascii="Times New Roman" w:hAnsi="Times New Roman" w:eastAsia="方正仿宋_GBK" w:cs="Times New Roman"/>
          <w:b/>
          <w:bCs w:val="0"/>
          <w:color w:val="auto"/>
          <w:szCs w:val="32"/>
          <w:highlight w:val="none"/>
        </w:rPr>
      </w:pPr>
      <w:r>
        <w:rPr>
          <w:rFonts w:hint="eastAsia" w:ascii="Times New Roman" w:hAnsi="Times New Roman" w:eastAsia="方正仿宋_GBK" w:cs="Times New Roman"/>
          <w:b/>
          <w:bCs w:val="0"/>
          <w:color w:val="auto"/>
          <w:szCs w:val="32"/>
          <w:highlight w:val="none"/>
        </w:rPr>
        <w:t>（五）预决算情况</w:t>
      </w:r>
      <w:bookmarkEnd w:id="8"/>
    </w:p>
    <w:p w14:paraId="18C4ACDB">
      <w:pPr>
        <w:widowControl w:val="0"/>
        <w:overflowPunct/>
        <w:autoSpaceDE/>
        <w:autoSpaceDN/>
        <w:adjustRightInd/>
        <w:spacing w:line="560" w:lineRule="exact"/>
        <w:ind w:firstLine="632" w:firstLineChars="200"/>
        <w:textAlignment w:val="auto"/>
        <w:rPr>
          <w:rFonts w:hint="eastAsia" w:ascii="Times New Roman" w:hAnsi="Times New Roman" w:eastAsia="方正仿宋_GBK" w:cs="Times New Roman"/>
          <w:bCs w:val="0"/>
          <w:color w:val="auto"/>
          <w:kern w:val="2"/>
          <w:szCs w:val="32"/>
          <w:highlight w:val="none"/>
          <w:shd w:val="clear" w:color="auto" w:fill="FFFFFF"/>
          <w:lang w:eastAsia="zh-CN"/>
        </w:rPr>
      </w:pPr>
      <w:r>
        <w:rPr>
          <w:rFonts w:ascii="Times New Roman" w:hAnsi="Times New Roman" w:eastAsia="方正仿宋_GBK" w:cs="Times New Roman"/>
          <w:bCs w:val="0"/>
          <w:color w:val="auto"/>
          <w:kern w:val="2"/>
          <w:szCs w:val="32"/>
          <w:highlight w:val="none"/>
          <w:shd w:val="clear" w:color="auto" w:fill="FFFFFF"/>
        </w:rPr>
        <w:t>202</w:t>
      </w:r>
      <w:r>
        <w:rPr>
          <w:rFonts w:hint="eastAsia" w:ascii="Times New Roman" w:hAnsi="Times New Roman" w:eastAsia="方正仿宋_GBK" w:cs="Times New Roman"/>
          <w:bCs w:val="0"/>
          <w:color w:val="auto"/>
          <w:kern w:val="2"/>
          <w:szCs w:val="32"/>
          <w:highlight w:val="none"/>
          <w:shd w:val="clear" w:color="auto" w:fill="FFFFFF"/>
          <w:lang w:val="en-US" w:eastAsia="zh-CN"/>
        </w:rPr>
        <w:t>4</w:t>
      </w:r>
      <w:r>
        <w:rPr>
          <w:rFonts w:hint="eastAsia" w:ascii="Times New Roman" w:hAnsi="Times New Roman" w:eastAsia="方正仿宋_GBK" w:cs="Times New Roman"/>
          <w:bCs w:val="0"/>
          <w:color w:val="auto"/>
          <w:kern w:val="2"/>
          <w:szCs w:val="32"/>
          <w:highlight w:val="none"/>
          <w:shd w:val="clear" w:color="auto" w:fill="FFFFFF"/>
        </w:rPr>
        <w:t>年财政预算包括部门预算和市级专项资金预算两部分，经批准，</w:t>
      </w:r>
      <w:r>
        <w:rPr>
          <w:rFonts w:ascii="Times New Roman" w:hAnsi="Times New Roman" w:eastAsia="方正仿宋_GBK" w:cs="Times New Roman"/>
          <w:bCs w:val="0"/>
          <w:color w:val="auto"/>
          <w:kern w:val="2"/>
          <w:szCs w:val="32"/>
          <w:highlight w:val="none"/>
          <w:shd w:val="clear" w:color="auto" w:fill="FFFFFF"/>
        </w:rPr>
        <w:t>202</w:t>
      </w:r>
      <w:r>
        <w:rPr>
          <w:rFonts w:hint="eastAsia" w:ascii="Times New Roman" w:hAnsi="Times New Roman" w:eastAsia="方正仿宋_GBK" w:cs="Times New Roman"/>
          <w:bCs w:val="0"/>
          <w:color w:val="auto"/>
          <w:kern w:val="2"/>
          <w:szCs w:val="32"/>
          <w:highlight w:val="none"/>
          <w:shd w:val="clear" w:color="auto" w:fill="FFFFFF"/>
          <w:lang w:val="en-US" w:eastAsia="zh-CN"/>
        </w:rPr>
        <w:t>4</w:t>
      </w:r>
      <w:r>
        <w:rPr>
          <w:rFonts w:hint="eastAsia" w:ascii="Times New Roman" w:hAnsi="Times New Roman" w:eastAsia="方正仿宋_GBK" w:cs="Times New Roman"/>
          <w:bCs w:val="0"/>
          <w:color w:val="auto"/>
          <w:kern w:val="2"/>
          <w:szCs w:val="32"/>
          <w:highlight w:val="none"/>
          <w:shd w:val="clear" w:color="auto" w:fill="FFFFFF"/>
        </w:rPr>
        <w:t>年</w:t>
      </w:r>
      <w:r>
        <w:rPr>
          <w:rFonts w:hint="eastAsia" w:ascii="Times New Roman" w:hAnsi="Times New Roman" w:eastAsia="方正仿宋_GBK" w:cs="Times New Roman"/>
          <w:bCs w:val="0"/>
          <w:color w:val="auto"/>
          <w:kern w:val="2"/>
          <w:szCs w:val="32"/>
          <w:highlight w:val="none"/>
          <w:shd w:val="clear" w:color="auto" w:fill="FFFFFF"/>
          <w:lang w:eastAsia="zh-CN"/>
        </w:rPr>
        <w:t>年初</w:t>
      </w:r>
      <w:r>
        <w:rPr>
          <w:rFonts w:hint="eastAsia" w:ascii="Times New Roman" w:hAnsi="Times New Roman" w:eastAsia="方正仿宋_GBK" w:cs="Times New Roman"/>
          <w:bCs w:val="0"/>
          <w:color w:val="auto"/>
          <w:kern w:val="2"/>
          <w:szCs w:val="32"/>
          <w:highlight w:val="none"/>
          <w:shd w:val="clear" w:color="auto" w:fill="FFFFFF"/>
        </w:rPr>
        <w:t>预算为</w:t>
      </w:r>
      <w:r>
        <w:rPr>
          <w:rFonts w:hint="eastAsia" w:ascii="Times New Roman" w:hAnsi="Times New Roman" w:eastAsia="方正仿宋_GBK" w:cs="Times New Roman"/>
          <w:bCs w:val="0"/>
          <w:color w:val="auto"/>
          <w:kern w:val="2"/>
          <w:szCs w:val="32"/>
          <w:highlight w:val="none"/>
          <w:shd w:val="clear" w:color="auto" w:fill="FFFFFF"/>
          <w:lang w:val="en-US" w:eastAsia="zh-CN"/>
        </w:rPr>
        <w:t>21429.07</w:t>
      </w:r>
      <w:r>
        <w:rPr>
          <w:rFonts w:hint="eastAsia" w:ascii="Times New Roman" w:hAnsi="Times New Roman" w:eastAsia="方正仿宋_GBK" w:cs="Times New Roman"/>
          <w:bCs w:val="0"/>
          <w:color w:val="auto"/>
          <w:kern w:val="2"/>
          <w:szCs w:val="32"/>
          <w:highlight w:val="none"/>
          <w:shd w:val="clear" w:color="auto" w:fill="FFFFFF"/>
        </w:rPr>
        <w:t>万元，具体包括：部门预算</w:t>
      </w:r>
      <w:r>
        <w:rPr>
          <w:rFonts w:hint="eastAsia" w:ascii="Times New Roman" w:hAnsi="Times New Roman" w:eastAsia="方正仿宋_GBK" w:cs="Times New Roman"/>
          <w:bCs w:val="0"/>
          <w:color w:val="auto"/>
          <w:kern w:val="2"/>
          <w:szCs w:val="32"/>
          <w:highlight w:val="none"/>
          <w:shd w:val="clear" w:color="auto" w:fill="FFFFFF"/>
          <w:lang w:val="en-US" w:eastAsia="zh-CN"/>
        </w:rPr>
        <w:t>3229.07</w:t>
      </w:r>
      <w:r>
        <w:rPr>
          <w:rFonts w:hint="eastAsia" w:ascii="Times New Roman" w:hAnsi="Times New Roman" w:eastAsia="方正仿宋_GBK" w:cs="Times New Roman"/>
          <w:bCs w:val="0"/>
          <w:color w:val="auto"/>
          <w:kern w:val="2"/>
          <w:szCs w:val="32"/>
          <w:highlight w:val="none"/>
          <w:shd w:val="clear" w:color="auto" w:fill="FFFFFF"/>
        </w:rPr>
        <w:t>万元、专项资金</w:t>
      </w:r>
      <w:r>
        <w:rPr>
          <w:rFonts w:hint="eastAsia" w:ascii="Times New Roman" w:hAnsi="Times New Roman" w:eastAsia="方正仿宋_GBK" w:cs="Times New Roman"/>
          <w:bCs w:val="0"/>
          <w:color w:val="auto"/>
          <w:kern w:val="2"/>
          <w:szCs w:val="32"/>
          <w:highlight w:val="none"/>
          <w:shd w:val="clear" w:color="auto" w:fill="FFFFFF"/>
          <w:lang w:eastAsia="zh-CN"/>
        </w:rPr>
        <w:t>预算18200万元。根据全市统一安排，年中进行了预算调整，年度实际预算为</w:t>
      </w:r>
      <w:r>
        <w:rPr>
          <w:rFonts w:hint="eastAsia" w:ascii="Times New Roman" w:hAnsi="Times New Roman" w:eastAsia="方正仿宋_GBK" w:cs="Times New Roman"/>
          <w:bCs w:val="0"/>
          <w:color w:val="auto"/>
          <w:kern w:val="2"/>
          <w:szCs w:val="32"/>
          <w:highlight w:val="none"/>
          <w:shd w:val="clear" w:color="auto" w:fill="FFFFFF"/>
          <w:lang w:val="en-US" w:eastAsia="zh-CN"/>
        </w:rPr>
        <w:t>17192.07</w:t>
      </w:r>
      <w:r>
        <w:rPr>
          <w:rFonts w:hint="eastAsia" w:ascii="Times New Roman" w:hAnsi="Times New Roman" w:eastAsia="方正仿宋_GBK" w:cs="Times New Roman"/>
          <w:bCs w:val="0"/>
          <w:color w:val="auto"/>
          <w:kern w:val="2"/>
          <w:szCs w:val="32"/>
          <w:highlight w:val="none"/>
          <w:shd w:val="clear" w:color="auto" w:fill="FFFFFF"/>
          <w:lang w:eastAsia="zh-CN"/>
        </w:rPr>
        <w:t>万元，其中部门预算</w:t>
      </w:r>
      <w:r>
        <w:rPr>
          <w:rFonts w:hint="eastAsia" w:ascii="Times New Roman" w:hAnsi="Times New Roman" w:eastAsia="方正仿宋_GBK" w:cs="Times New Roman"/>
          <w:bCs w:val="0"/>
          <w:color w:val="auto"/>
          <w:kern w:val="2"/>
          <w:szCs w:val="32"/>
          <w:highlight w:val="none"/>
          <w:shd w:val="clear" w:color="auto" w:fill="FFFFFF"/>
          <w:lang w:val="en-US" w:eastAsia="zh-CN"/>
        </w:rPr>
        <w:t>3312.07</w:t>
      </w:r>
      <w:r>
        <w:rPr>
          <w:rFonts w:hint="eastAsia" w:ascii="Times New Roman" w:hAnsi="Times New Roman" w:eastAsia="方正仿宋_GBK" w:cs="Times New Roman"/>
          <w:bCs w:val="0"/>
          <w:color w:val="auto"/>
          <w:kern w:val="2"/>
          <w:szCs w:val="32"/>
          <w:highlight w:val="none"/>
          <w:shd w:val="clear" w:color="auto" w:fill="FFFFFF"/>
          <w:lang w:eastAsia="zh-CN"/>
        </w:rPr>
        <w:t>万元、专项资金预算</w:t>
      </w:r>
      <w:r>
        <w:rPr>
          <w:rFonts w:hint="eastAsia" w:ascii="Times New Roman" w:hAnsi="Times New Roman" w:eastAsia="方正仿宋_GBK" w:cs="Times New Roman"/>
          <w:bCs w:val="0"/>
          <w:color w:val="auto"/>
          <w:kern w:val="2"/>
          <w:szCs w:val="32"/>
          <w:highlight w:val="none"/>
          <w:shd w:val="clear" w:color="auto" w:fill="FFFFFF"/>
          <w:lang w:val="en-US" w:eastAsia="zh-CN"/>
        </w:rPr>
        <w:t>13880</w:t>
      </w:r>
      <w:r>
        <w:rPr>
          <w:rFonts w:hint="eastAsia" w:ascii="Times New Roman" w:hAnsi="Times New Roman" w:eastAsia="方正仿宋_GBK" w:cs="Times New Roman"/>
          <w:bCs w:val="0"/>
          <w:color w:val="auto"/>
          <w:kern w:val="2"/>
          <w:szCs w:val="32"/>
          <w:highlight w:val="none"/>
          <w:shd w:val="clear" w:color="auto" w:fill="FFFFFF"/>
          <w:lang w:eastAsia="zh-CN"/>
        </w:rPr>
        <w:t>万元。实际支出</w:t>
      </w:r>
      <w:r>
        <w:rPr>
          <w:rFonts w:hint="eastAsia" w:ascii="Times New Roman" w:hAnsi="Times New Roman" w:eastAsia="方正仿宋_GBK" w:cs="Times New Roman"/>
          <w:bCs w:val="0"/>
          <w:color w:val="auto"/>
          <w:kern w:val="2"/>
          <w:szCs w:val="32"/>
          <w:highlight w:val="none"/>
          <w:shd w:val="clear" w:color="auto" w:fill="FFFFFF"/>
          <w:lang w:val="en-US" w:eastAsia="zh-CN"/>
        </w:rPr>
        <w:t>16</w:t>
      </w:r>
      <w:r>
        <w:rPr>
          <w:rFonts w:hint="eastAsia" w:eastAsia="方正仿宋_GBK" w:cs="Times New Roman"/>
          <w:bCs w:val="0"/>
          <w:color w:val="auto"/>
          <w:kern w:val="2"/>
          <w:szCs w:val="32"/>
          <w:highlight w:val="none"/>
          <w:shd w:val="clear" w:color="auto" w:fill="FFFFFF"/>
          <w:lang w:val="en-US" w:eastAsia="zh-CN"/>
        </w:rPr>
        <w:t>517.48</w:t>
      </w:r>
      <w:r>
        <w:rPr>
          <w:rFonts w:hint="eastAsia" w:ascii="Times New Roman" w:hAnsi="Times New Roman" w:eastAsia="方正仿宋_GBK" w:cs="Times New Roman"/>
          <w:bCs w:val="0"/>
          <w:color w:val="auto"/>
          <w:kern w:val="2"/>
          <w:szCs w:val="32"/>
          <w:highlight w:val="none"/>
          <w:shd w:val="clear" w:color="auto" w:fill="FFFFFF"/>
          <w:lang w:eastAsia="zh-CN"/>
        </w:rPr>
        <w:t>万元，财政预算执行率为</w:t>
      </w:r>
      <w:r>
        <w:rPr>
          <w:rFonts w:hint="eastAsia" w:ascii="Times New Roman" w:hAnsi="Times New Roman" w:eastAsia="方正仿宋_GBK" w:cs="Times New Roman"/>
          <w:bCs w:val="0"/>
          <w:color w:val="auto"/>
          <w:kern w:val="2"/>
          <w:szCs w:val="32"/>
          <w:highlight w:val="none"/>
          <w:shd w:val="clear" w:color="auto" w:fill="FFFFFF"/>
          <w:lang w:val="en-US" w:eastAsia="zh-CN"/>
        </w:rPr>
        <w:t>9</w:t>
      </w:r>
      <w:r>
        <w:rPr>
          <w:rFonts w:hint="eastAsia" w:eastAsia="方正仿宋_GBK" w:cs="Times New Roman"/>
          <w:bCs w:val="0"/>
          <w:color w:val="auto"/>
          <w:kern w:val="2"/>
          <w:szCs w:val="32"/>
          <w:highlight w:val="none"/>
          <w:shd w:val="clear" w:color="auto" w:fill="FFFFFF"/>
          <w:lang w:val="en-US" w:eastAsia="zh-CN"/>
        </w:rPr>
        <w:t>6.08</w:t>
      </w:r>
      <w:r>
        <w:rPr>
          <w:rFonts w:hint="eastAsia" w:ascii="Times New Roman" w:hAnsi="Times New Roman" w:eastAsia="方正仿宋_GBK" w:cs="Times New Roman"/>
          <w:bCs w:val="0"/>
          <w:color w:val="auto"/>
          <w:kern w:val="2"/>
          <w:szCs w:val="32"/>
          <w:highlight w:val="none"/>
          <w:shd w:val="clear" w:color="auto" w:fill="FFFFFF"/>
          <w:lang w:eastAsia="zh-CN"/>
        </w:rPr>
        <w:t>%，其中：部门预算实际支出</w:t>
      </w:r>
      <w:r>
        <w:rPr>
          <w:rFonts w:hint="eastAsia" w:ascii="Times New Roman" w:hAnsi="Times New Roman" w:eastAsia="方正仿宋_GBK" w:cs="Times New Roman"/>
          <w:bCs w:val="0"/>
          <w:color w:val="auto"/>
          <w:kern w:val="2"/>
          <w:szCs w:val="32"/>
          <w:highlight w:val="none"/>
          <w:shd w:val="clear" w:color="auto" w:fill="FFFFFF"/>
          <w:lang w:val="en-US" w:eastAsia="zh-CN"/>
        </w:rPr>
        <w:t>3232.74</w:t>
      </w:r>
      <w:r>
        <w:rPr>
          <w:rFonts w:hint="eastAsia" w:ascii="Times New Roman" w:hAnsi="Times New Roman" w:eastAsia="方正仿宋_GBK" w:cs="Times New Roman"/>
          <w:bCs w:val="0"/>
          <w:color w:val="auto"/>
          <w:kern w:val="2"/>
          <w:szCs w:val="32"/>
          <w:highlight w:val="none"/>
          <w:shd w:val="clear" w:color="auto" w:fill="FFFFFF"/>
          <w:lang w:eastAsia="zh-CN"/>
        </w:rPr>
        <w:t>万元，部门预算执行率为</w:t>
      </w:r>
      <w:r>
        <w:rPr>
          <w:rFonts w:hint="eastAsia" w:ascii="Times New Roman" w:hAnsi="Times New Roman" w:eastAsia="方正仿宋_GBK" w:cs="Times New Roman"/>
          <w:bCs w:val="0"/>
          <w:color w:val="auto"/>
          <w:kern w:val="2"/>
          <w:szCs w:val="32"/>
          <w:highlight w:val="none"/>
          <w:shd w:val="clear" w:color="auto" w:fill="FFFFFF"/>
          <w:lang w:val="en-US" w:eastAsia="zh-CN"/>
        </w:rPr>
        <w:t xml:space="preserve">97.6 </w:t>
      </w:r>
      <w:r>
        <w:rPr>
          <w:rFonts w:hint="eastAsia" w:ascii="Times New Roman" w:hAnsi="Times New Roman" w:eastAsia="方正仿宋_GBK" w:cs="Times New Roman"/>
          <w:bCs w:val="0"/>
          <w:color w:val="auto"/>
          <w:kern w:val="2"/>
          <w:szCs w:val="32"/>
          <w:highlight w:val="none"/>
          <w:shd w:val="clear" w:color="auto" w:fill="FFFFFF"/>
          <w:lang w:eastAsia="zh-CN"/>
        </w:rPr>
        <w:t>%；专项资金实际支出</w:t>
      </w:r>
      <w:r>
        <w:rPr>
          <w:rFonts w:hint="eastAsia" w:eastAsia="方正仿宋_GBK" w:cs="Times New Roman"/>
          <w:bCs w:val="0"/>
          <w:color w:val="auto"/>
          <w:kern w:val="2"/>
          <w:szCs w:val="32"/>
          <w:highlight w:val="none"/>
          <w:shd w:val="clear" w:color="auto" w:fill="FFFFFF"/>
          <w:lang w:val="en-US" w:eastAsia="zh-CN"/>
        </w:rPr>
        <w:t>13284.74</w:t>
      </w:r>
      <w:r>
        <w:rPr>
          <w:rFonts w:hint="eastAsia" w:ascii="Times New Roman" w:hAnsi="Times New Roman" w:eastAsia="方正仿宋_GBK" w:cs="Times New Roman"/>
          <w:bCs w:val="0"/>
          <w:color w:val="auto"/>
          <w:kern w:val="2"/>
          <w:szCs w:val="32"/>
          <w:highlight w:val="none"/>
          <w:shd w:val="clear" w:color="auto" w:fill="FFFFFF"/>
          <w:lang w:val="en-US" w:eastAsia="zh-CN"/>
        </w:rPr>
        <w:t>万元</w:t>
      </w:r>
      <w:r>
        <w:rPr>
          <w:rFonts w:hint="eastAsia" w:ascii="Times New Roman" w:hAnsi="Times New Roman" w:eastAsia="方正仿宋_GBK" w:cs="Times New Roman"/>
          <w:bCs w:val="0"/>
          <w:color w:val="auto"/>
          <w:kern w:val="2"/>
          <w:szCs w:val="32"/>
          <w:highlight w:val="none"/>
          <w:shd w:val="clear" w:color="auto" w:fill="FFFFFF"/>
          <w:lang w:eastAsia="zh-CN"/>
        </w:rPr>
        <w:t>，专项资金执行率为</w:t>
      </w:r>
      <w:r>
        <w:rPr>
          <w:rFonts w:hint="eastAsia" w:ascii="Times New Roman" w:hAnsi="Times New Roman" w:eastAsia="方正仿宋_GBK" w:cs="Times New Roman"/>
          <w:bCs w:val="0"/>
          <w:color w:val="auto"/>
          <w:kern w:val="2"/>
          <w:szCs w:val="32"/>
          <w:highlight w:val="none"/>
          <w:shd w:val="clear" w:color="auto" w:fill="FFFFFF"/>
          <w:lang w:val="en-US" w:eastAsia="zh-CN"/>
        </w:rPr>
        <w:t>95.</w:t>
      </w:r>
      <w:r>
        <w:rPr>
          <w:rFonts w:hint="eastAsia" w:eastAsia="方正仿宋_GBK" w:cs="Times New Roman"/>
          <w:bCs w:val="0"/>
          <w:color w:val="auto"/>
          <w:kern w:val="2"/>
          <w:szCs w:val="32"/>
          <w:highlight w:val="none"/>
          <w:shd w:val="clear" w:color="auto" w:fill="FFFFFF"/>
          <w:lang w:val="en-US" w:eastAsia="zh-CN"/>
        </w:rPr>
        <w:t>71</w:t>
      </w:r>
      <w:r>
        <w:rPr>
          <w:rFonts w:hint="eastAsia" w:ascii="Times New Roman" w:hAnsi="Times New Roman" w:eastAsia="方正仿宋_GBK" w:cs="Times New Roman"/>
          <w:bCs w:val="0"/>
          <w:color w:val="auto"/>
          <w:kern w:val="2"/>
          <w:szCs w:val="32"/>
          <w:highlight w:val="none"/>
          <w:shd w:val="clear" w:color="auto" w:fill="FFFFFF"/>
          <w:lang w:eastAsia="zh-CN"/>
        </w:rPr>
        <w:t>%。</w:t>
      </w:r>
    </w:p>
    <w:p w14:paraId="5957CD9E">
      <w:pPr>
        <w:widowControl w:val="0"/>
        <w:overflowPunct/>
        <w:autoSpaceDE/>
        <w:autoSpaceDN/>
        <w:adjustRightInd/>
        <w:spacing w:line="560" w:lineRule="exact"/>
        <w:ind w:firstLine="632" w:firstLineChars="200"/>
        <w:textAlignment w:val="auto"/>
        <w:outlineLvl w:val="1"/>
        <w:rPr>
          <w:rFonts w:ascii="Times New Roman" w:hAnsi="Times New Roman" w:eastAsia="方正仿宋_GBK" w:cs="Times New Roman"/>
          <w:b/>
          <w:bCs w:val="0"/>
          <w:color w:val="auto"/>
          <w:szCs w:val="32"/>
          <w:highlight w:val="none"/>
        </w:rPr>
      </w:pPr>
      <w:bookmarkStart w:id="9" w:name="_Toc4311"/>
      <w:r>
        <w:rPr>
          <w:rFonts w:hint="eastAsia" w:ascii="Times New Roman" w:hAnsi="Times New Roman" w:eastAsia="方正仿宋_GBK" w:cs="Times New Roman"/>
          <w:b/>
          <w:bCs w:val="0"/>
          <w:color w:val="auto"/>
          <w:szCs w:val="32"/>
          <w:highlight w:val="none"/>
        </w:rPr>
        <w:t>（六）固定资产状况</w:t>
      </w:r>
      <w:bookmarkEnd w:id="9"/>
    </w:p>
    <w:p w14:paraId="2624DC95">
      <w:pPr>
        <w:pStyle w:val="29"/>
        <w:spacing w:line="560" w:lineRule="exact"/>
        <w:ind w:firstLine="632"/>
        <w:rPr>
          <w:rFonts w:hint="eastAsia" w:ascii="Times New Roman" w:hAnsi="Times New Roman" w:eastAsia="方正仿宋_GBK" w:cs="Times New Roman"/>
          <w:bCs w:val="0"/>
          <w:color w:val="auto"/>
          <w:sz w:val="32"/>
          <w:szCs w:val="32"/>
          <w:highlight w:val="none"/>
        </w:rPr>
      </w:pPr>
      <w:r>
        <w:rPr>
          <w:rFonts w:hint="eastAsia" w:ascii="Times New Roman" w:hAnsi="Times New Roman" w:eastAsia="方正仿宋_GBK" w:cs="Times New Roman"/>
          <w:bCs w:val="0"/>
          <w:color w:val="auto"/>
          <w:sz w:val="32"/>
          <w:szCs w:val="32"/>
          <w:highlight w:val="none"/>
        </w:rPr>
        <w:t>截至</w:t>
      </w:r>
      <w:r>
        <w:rPr>
          <w:rFonts w:ascii="Times New Roman" w:hAnsi="Times New Roman" w:eastAsia="方正仿宋_GBK" w:cs="Times New Roman"/>
          <w:bCs w:val="0"/>
          <w:color w:val="auto"/>
          <w:sz w:val="32"/>
          <w:szCs w:val="32"/>
          <w:highlight w:val="none"/>
        </w:rPr>
        <w:t>2</w:t>
      </w:r>
      <w:r>
        <w:rPr>
          <w:rFonts w:hint="eastAsia" w:ascii="Times New Roman" w:hAnsi="Times New Roman" w:eastAsia="方正仿宋_GBK" w:cs="Times New Roman"/>
          <w:bCs w:val="0"/>
          <w:color w:val="auto"/>
          <w:sz w:val="32"/>
          <w:szCs w:val="32"/>
          <w:highlight w:val="none"/>
        </w:rPr>
        <w:t>02</w:t>
      </w:r>
      <w:r>
        <w:rPr>
          <w:rFonts w:hint="eastAsia" w:ascii="Times New Roman" w:hAnsi="Times New Roman" w:eastAsia="方正仿宋_GBK" w:cs="Times New Roman"/>
          <w:bCs w:val="0"/>
          <w:color w:val="auto"/>
          <w:sz w:val="32"/>
          <w:szCs w:val="32"/>
          <w:highlight w:val="none"/>
          <w:lang w:val="en-US" w:eastAsia="zh-CN"/>
        </w:rPr>
        <w:t>4</w:t>
      </w:r>
      <w:r>
        <w:rPr>
          <w:rFonts w:hint="eastAsia" w:ascii="Times New Roman" w:hAnsi="Times New Roman" w:eastAsia="方正仿宋_GBK" w:cs="Times New Roman"/>
          <w:bCs w:val="0"/>
          <w:color w:val="auto"/>
          <w:sz w:val="32"/>
          <w:szCs w:val="32"/>
          <w:highlight w:val="none"/>
        </w:rPr>
        <w:t>年底，局本级固定资产总价值原值</w:t>
      </w:r>
      <w:r>
        <w:rPr>
          <w:rFonts w:hint="eastAsia" w:ascii="Times New Roman" w:hAnsi="Times New Roman" w:eastAsia="方正仿宋_GBK" w:cs="Times New Roman"/>
          <w:bCs w:val="0"/>
          <w:color w:val="auto"/>
          <w:sz w:val="32"/>
          <w:szCs w:val="32"/>
          <w:highlight w:val="none"/>
          <w:lang w:val="en-US" w:eastAsia="zh-CN"/>
        </w:rPr>
        <w:t>537.85</w:t>
      </w:r>
      <w:r>
        <w:rPr>
          <w:rFonts w:hint="eastAsia" w:ascii="Times New Roman" w:hAnsi="Times New Roman" w:eastAsia="方正仿宋_GBK" w:cs="Times New Roman"/>
          <w:bCs w:val="0"/>
          <w:color w:val="auto"/>
          <w:sz w:val="32"/>
          <w:szCs w:val="32"/>
          <w:highlight w:val="none"/>
        </w:rPr>
        <w:t>万元，累计折旧/摊销</w:t>
      </w:r>
      <w:r>
        <w:rPr>
          <w:rFonts w:hint="eastAsia" w:ascii="Times New Roman" w:hAnsi="Times New Roman" w:eastAsia="方正仿宋_GBK" w:cs="Times New Roman"/>
          <w:bCs w:val="0"/>
          <w:color w:val="auto"/>
          <w:sz w:val="32"/>
          <w:szCs w:val="32"/>
          <w:highlight w:val="none"/>
          <w:lang w:val="en-US" w:eastAsia="zh-CN"/>
        </w:rPr>
        <w:t>370.32</w:t>
      </w:r>
      <w:r>
        <w:rPr>
          <w:rFonts w:hint="eastAsia" w:ascii="Times New Roman" w:hAnsi="Times New Roman" w:eastAsia="方正仿宋_GBK" w:cs="Times New Roman"/>
          <w:bCs w:val="0"/>
          <w:color w:val="auto"/>
          <w:sz w:val="32"/>
          <w:szCs w:val="32"/>
          <w:highlight w:val="none"/>
        </w:rPr>
        <w:t>万元，净值</w:t>
      </w:r>
      <w:r>
        <w:rPr>
          <w:rFonts w:hint="eastAsia" w:ascii="Times New Roman" w:hAnsi="Times New Roman" w:eastAsia="方正仿宋_GBK" w:cs="Times New Roman"/>
          <w:bCs w:val="0"/>
          <w:color w:val="auto"/>
          <w:sz w:val="32"/>
          <w:szCs w:val="32"/>
          <w:highlight w:val="none"/>
          <w:lang w:val="en-US" w:eastAsia="zh-CN"/>
        </w:rPr>
        <w:t>167.53</w:t>
      </w:r>
      <w:r>
        <w:rPr>
          <w:rFonts w:hint="eastAsia" w:ascii="Times New Roman" w:hAnsi="Times New Roman" w:eastAsia="方正仿宋_GBK" w:cs="Times New Roman"/>
          <w:bCs w:val="0"/>
          <w:color w:val="auto"/>
          <w:sz w:val="32"/>
          <w:szCs w:val="32"/>
          <w:highlight w:val="none"/>
        </w:rPr>
        <w:t>万元。详见下表：</w:t>
      </w:r>
    </w:p>
    <w:p w14:paraId="60D9FDC1">
      <w:pPr>
        <w:pStyle w:val="24"/>
        <w:spacing w:before="0" w:after="0" w:line="560" w:lineRule="exact"/>
        <w:ind w:firstLine="632" w:firstLineChars="200"/>
        <w:rPr>
          <w:rFonts w:ascii="Times New Roman" w:hAnsi="Times New Roman" w:eastAsia="方正仿宋_GBK" w:cs="Times New Roman"/>
          <w:b w:val="0"/>
          <w:bCs w:val="0"/>
          <w:color w:val="auto"/>
          <w:sz w:val="32"/>
          <w:szCs w:val="32"/>
          <w:highlight w:val="none"/>
        </w:rPr>
      </w:pPr>
      <w:r>
        <w:rPr>
          <w:rFonts w:ascii="Times New Roman" w:hAnsi="Times New Roman" w:eastAsia="方正仿宋_GBK" w:cs="Times New Roman"/>
          <w:b w:val="0"/>
          <w:bCs w:val="0"/>
          <w:color w:val="auto"/>
          <w:sz w:val="32"/>
          <w:szCs w:val="32"/>
          <w:highlight w:val="none"/>
        </w:rPr>
        <w:t>20</w:t>
      </w:r>
      <w:r>
        <w:rPr>
          <w:rFonts w:ascii="Times New Roman" w:hAnsi="Times New Roman" w:eastAsia="方正仿宋_GBK" w:cs="Times New Roman"/>
          <w:b w:val="0"/>
          <w:bCs w:val="0"/>
          <w:color w:val="auto"/>
          <w:sz w:val="32"/>
          <w:szCs w:val="32"/>
          <w:highlight w:val="none"/>
          <w:lang w:val="en-US"/>
        </w:rPr>
        <w:t>2</w:t>
      </w:r>
      <w:r>
        <w:rPr>
          <w:rFonts w:hint="eastAsia" w:ascii="Times New Roman" w:hAnsi="Times New Roman" w:eastAsia="方正仿宋_GBK" w:cs="Times New Roman"/>
          <w:b w:val="0"/>
          <w:bCs w:val="0"/>
          <w:color w:val="auto"/>
          <w:sz w:val="32"/>
          <w:szCs w:val="32"/>
          <w:highlight w:val="none"/>
          <w:lang w:val="en-US" w:eastAsia="zh-CN"/>
        </w:rPr>
        <w:t>4</w:t>
      </w:r>
      <w:r>
        <w:rPr>
          <w:rFonts w:hint="eastAsia" w:ascii="Times New Roman" w:hAnsi="Times New Roman" w:eastAsia="方正仿宋_GBK" w:cs="Times New Roman"/>
          <w:b w:val="0"/>
          <w:bCs w:val="0"/>
          <w:color w:val="auto"/>
          <w:sz w:val="32"/>
          <w:szCs w:val="32"/>
          <w:highlight w:val="none"/>
        </w:rPr>
        <w:t>年</w:t>
      </w:r>
      <w:r>
        <w:rPr>
          <w:rFonts w:hint="eastAsia" w:ascii="Times New Roman" w:hAnsi="Times New Roman" w:eastAsia="方正仿宋_GBK" w:cs="Times New Roman"/>
          <w:b w:val="0"/>
          <w:bCs w:val="0"/>
          <w:color w:val="auto"/>
          <w:sz w:val="32"/>
          <w:szCs w:val="32"/>
          <w:highlight w:val="none"/>
          <w:lang w:val="en-US"/>
        </w:rPr>
        <w:t>局本级</w:t>
      </w:r>
      <w:r>
        <w:rPr>
          <w:rFonts w:hint="eastAsia" w:ascii="Times New Roman" w:hAnsi="Times New Roman" w:eastAsia="方正仿宋_GBK" w:cs="Times New Roman"/>
          <w:b w:val="0"/>
          <w:bCs w:val="0"/>
          <w:color w:val="auto"/>
          <w:sz w:val="32"/>
          <w:szCs w:val="32"/>
          <w:highlight w:val="none"/>
        </w:rPr>
        <w:t>固定资产情况</w:t>
      </w:r>
    </w:p>
    <w:p w14:paraId="388076FE">
      <w:pPr>
        <w:pStyle w:val="24"/>
        <w:spacing w:before="0" w:after="0" w:line="360" w:lineRule="exact"/>
        <w:ind w:firstLine="632" w:firstLineChars="200"/>
        <w:jc w:val="right"/>
        <w:rPr>
          <w:rFonts w:ascii="方正仿宋_GBK" w:hAnsi="方正仿宋_GBK" w:eastAsia="方正仿宋_GBK" w:cs="方正仿宋_GBK"/>
          <w:b w:val="0"/>
          <w:bCs/>
          <w:color w:val="auto"/>
          <w:sz w:val="32"/>
          <w:szCs w:val="32"/>
          <w:highlight w:val="none"/>
        </w:rPr>
      </w:pPr>
      <w:r>
        <w:rPr>
          <w:rFonts w:hint="eastAsia" w:ascii="方正仿宋_GBK" w:hAnsi="方正仿宋_GBK" w:eastAsia="方正仿宋_GBK" w:cs="方正仿宋_GBK"/>
          <w:b w:val="0"/>
          <w:bCs/>
          <w:color w:val="auto"/>
          <w:sz w:val="32"/>
          <w:szCs w:val="32"/>
          <w:highlight w:val="none"/>
        </w:rPr>
        <w:t>单位：万元</w:t>
      </w:r>
    </w:p>
    <w:tbl>
      <w:tblPr>
        <w:tblStyle w:val="9"/>
        <w:tblW w:w="4997" w:type="pct"/>
        <w:tblInd w:w="0" w:type="dxa"/>
        <w:tblLayout w:type="fixed"/>
        <w:tblCellMar>
          <w:top w:w="0" w:type="dxa"/>
          <w:left w:w="0" w:type="dxa"/>
          <w:bottom w:w="0" w:type="dxa"/>
          <w:right w:w="0" w:type="dxa"/>
        </w:tblCellMar>
      </w:tblPr>
      <w:tblGrid>
        <w:gridCol w:w="3442"/>
        <w:gridCol w:w="1079"/>
        <w:gridCol w:w="1187"/>
        <w:gridCol w:w="1785"/>
        <w:gridCol w:w="1377"/>
      </w:tblGrid>
      <w:tr w14:paraId="2485FAC5">
        <w:tblPrEx>
          <w:tblCellMar>
            <w:top w:w="0" w:type="dxa"/>
            <w:left w:w="0" w:type="dxa"/>
            <w:bottom w:w="0" w:type="dxa"/>
            <w:right w:w="0" w:type="dxa"/>
          </w:tblCellMar>
        </w:tblPrEx>
        <w:trPr>
          <w:trHeight w:val="454" w:hRule="exact"/>
          <w:tblHeader/>
        </w:trPr>
        <w:tc>
          <w:tcPr>
            <w:tcW w:w="19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7DED6E">
            <w:pPr>
              <w:spacing w:line="240" w:lineRule="exact"/>
              <w:jc w:val="center"/>
              <w:textAlignment w:val="center"/>
              <w:rPr>
                <w:rFonts w:ascii="仿宋" w:hAnsi="仿宋" w:eastAsia="仿宋" w:cs="仿宋"/>
                <w:b/>
                <w:color w:val="auto"/>
                <w:sz w:val="20"/>
                <w:highlight w:val="none"/>
              </w:rPr>
            </w:pPr>
            <w:r>
              <w:rPr>
                <w:rFonts w:hint="eastAsia" w:ascii="仿宋" w:hAnsi="仿宋" w:eastAsia="仿宋" w:cs="仿宋"/>
                <w:b/>
                <w:color w:val="auto"/>
                <w:sz w:val="20"/>
                <w:highlight w:val="none"/>
              </w:rPr>
              <w:t>固定资产项目</w:t>
            </w:r>
          </w:p>
        </w:tc>
        <w:tc>
          <w:tcPr>
            <w:tcW w:w="6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22834A">
            <w:pPr>
              <w:spacing w:line="240" w:lineRule="exact"/>
              <w:jc w:val="center"/>
              <w:textAlignment w:val="center"/>
              <w:rPr>
                <w:rFonts w:ascii="仿宋" w:hAnsi="仿宋" w:eastAsia="仿宋" w:cs="仿宋"/>
                <w:b/>
                <w:color w:val="auto"/>
                <w:sz w:val="20"/>
                <w:highlight w:val="none"/>
              </w:rPr>
            </w:pPr>
            <w:r>
              <w:rPr>
                <w:rFonts w:hint="eastAsia" w:ascii="仿宋" w:hAnsi="仿宋" w:eastAsia="仿宋" w:cs="仿宋"/>
                <w:b/>
                <w:color w:val="auto"/>
                <w:sz w:val="20"/>
                <w:highlight w:val="none"/>
              </w:rPr>
              <w:t>数量</w:t>
            </w:r>
          </w:p>
        </w:tc>
        <w:tc>
          <w:tcPr>
            <w:tcW w:w="66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6ED18F">
            <w:pPr>
              <w:spacing w:line="240" w:lineRule="exact"/>
              <w:jc w:val="center"/>
              <w:textAlignment w:val="center"/>
              <w:rPr>
                <w:rFonts w:ascii="仿宋" w:hAnsi="仿宋" w:eastAsia="仿宋" w:cs="仿宋"/>
                <w:b/>
                <w:color w:val="auto"/>
                <w:sz w:val="20"/>
                <w:highlight w:val="none"/>
              </w:rPr>
            </w:pPr>
            <w:r>
              <w:rPr>
                <w:rFonts w:hint="eastAsia" w:ascii="仿宋" w:hAnsi="仿宋" w:eastAsia="仿宋" w:cs="仿宋"/>
                <w:b/>
                <w:color w:val="auto"/>
                <w:sz w:val="20"/>
                <w:highlight w:val="none"/>
              </w:rPr>
              <w:t>原值</w:t>
            </w:r>
          </w:p>
        </w:tc>
        <w:tc>
          <w:tcPr>
            <w:tcW w:w="10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1971AB">
            <w:pPr>
              <w:spacing w:line="240" w:lineRule="exact"/>
              <w:jc w:val="center"/>
              <w:textAlignment w:val="center"/>
              <w:rPr>
                <w:rFonts w:ascii="仿宋" w:hAnsi="仿宋" w:eastAsia="仿宋" w:cs="仿宋"/>
                <w:b/>
                <w:color w:val="auto"/>
                <w:sz w:val="20"/>
                <w:highlight w:val="none"/>
              </w:rPr>
            </w:pPr>
            <w:r>
              <w:rPr>
                <w:rFonts w:hint="eastAsia" w:ascii="仿宋" w:hAnsi="仿宋" w:eastAsia="仿宋" w:cs="仿宋"/>
                <w:b/>
                <w:color w:val="auto"/>
                <w:sz w:val="20"/>
                <w:highlight w:val="none"/>
              </w:rPr>
              <w:t>累计折旧</w:t>
            </w:r>
            <w:r>
              <w:rPr>
                <w:rFonts w:ascii="仿宋" w:hAnsi="仿宋" w:eastAsia="仿宋" w:cs="仿宋"/>
                <w:b/>
                <w:color w:val="auto"/>
                <w:sz w:val="20"/>
                <w:highlight w:val="none"/>
              </w:rPr>
              <w:t>/</w:t>
            </w:r>
            <w:r>
              <w:rPr>
                <w:rFonts w:hint="eastAsia" w:ascii="仿宋" w:hAnsi="仿宋" w:eastAsia="仿宋" w:cs="仿宋"/>
                <w:b/>
                <w:color w:val="auto"/>
                <w:sz w:val="20"/>
                <w:highlight w:val="none"/>
              </w:rPr>
              <w:t>摊销</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AD19DE">
            <w:pPr>
              <w:spacing w:line="240" w:lineRule="exact"/>
              <w:jc w:val="center"/>
              <w:textAlignment w:val="center"/>
              <w:rPr>
                <w:rFonts w:ascii="仿宋" w:hAnsi="仿宋" w:eastAsia="仿宋" w:cs="仿宋"/>
                <w:b/>
                <w:color w:val="auto"/>
                <w:sz w:val="20"/>
                <w:highlight w:val="none"/>
              </w:rPr>
            </w:pPr>
            <w:r>
              <w:rPr>
                <w:rFonts w:hint="eastAsia" w:ascii="仿宋" w:hAnsi="仿宋" w:eastAsia="仿宋" w:cs="仿宋"/>
                <w:b/>
                <w:color w:val="auto"/>
                <w:sz w:val="20"/>
                <w:highlight w:val="none"/>
              </w:rPr>
              <w:t>净值</w:t>
            </w:r>
          </w:p>
        </w:tc>
      </w:tr>
      <w:tr w14:paraId="336C1254">
        <w:tblPrEx>
          <w:tblCellMar>
            <w:top w:w="0" w:type="dxa"/>
            <w:left w:w="0" w:type="dxa"/>
            <w:bottom w:w="0" w:type="dxa"/>
            <w:right w:w="0" w:type="dxa"/>
          </w:tblCellMar>
        </w:tblPrEx>
        <w:trPr>
          <w:trHeight w:val="454" w:hRule="exact"/>
        </w:trPr>
        <w:tc>
          <w:tcPr>
            <w:tcW w:w="19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42D78A">
            <w:pPr>
              <w:spacing w:line="300" w:lineRule="exact"/>
              <w:jc w:val="left"/>
              <w:textAlignment w:val="center"/>
              <w:rPr>
                <w:rFonts w:ascii="仿宋" w:hAnsi="仿宋" w:eastAsia="仿宋" w:cs="仿宋"/>
                <w:b/>
                <w:color w:val="auto"/>
                <w:sz w:val="20"/>
                <w:highlight w:val="none"/>
              </w:rPr>
            </w:pPr>
            <w:r>
              <w:rPr>
                <w:rFonts w:hint="eastAsia" w:ascii="仿宋" w:hAnsi="仿宋" w:eastAsia="仿宋" w:cs="仿宋"/>
                <w:b/>
                <w:color w:val="auto"/>
                <w:sz w:val="20"/>
                <w:highlight w:val="none"/>
              </w:rPr>
              <w:t>（一）土地、房屋及构筑物</w:t>
            </w:r>
          </w:p>
        </w:tc>
        <w:tc>
          <w:tcPr>
            <w:tcW w:w="6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A17EAD">
            <w:pPr>
              <w:spacing w:line="300" w:lineRule="exact"/>
              <w:jc w:val="center"/>
              <w:textAlignment w:val="center"/>
              <w:rPr>
                <w:rFonts w:ascii="仿宋" w:hAnsi="仿宋" w:eastAsia="仿宋" w:cs="仿宋"/>
                <w:color w:val="auto"/>
                <w:sz w:val="20"/>
                <w:highlight w:val="none"/>
              </w:rPr>
            </w:pPr>
          </w:p>
        </w:tc>
        <w:tc>
          <w:tcPr>
            <w:tcW w:w="66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61EFB3">
            <w:pPr>
              <w:spacing w:line="300" w:lineRule="exact"/>
              <w:jc w:val="center"/>
              <w:textAlignment w:val="center"/>
              <w:rPr>
                <w:rFonts w:ascii="仿宋" w:hAnsi="仿宋" w:eastAsia="仿宋" w:cs="仿宋"/>
                <w:color w:val="auto"/>
                <w:sz w:val="20"/>
                <w:highlight w:val="none"/>
              </w:rPr>
            </w:pPr>
          </w:p>
        </w:tc>
        <w:tc>
          <w:tcPr>
            <w:tcW w:w="10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A907FF">
            <w:pPr>
              <w:spacing w:line="300" w:lineRule="exact"/>
              <w:jc w:val="center"/>
              <w:textAlignment w:val="center"/>
              <w:rPr>
                <w:rFonts w:ascii="仿宋" w:hAnsi="仿宋" w:eastAsia="仿宋" w:cs="仿宋"/>
                <w:color w:val="auto"/>
                <w:sz w:val="20"/>
                <w:highlight w:val="none"/>
              </w:rPr>
            </w:pP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80B160">
            <w:pPr>
              <w:spacing w:line="300" w:lineRule="exact"/>
              <w:jc w:val="center"/>
              <w:textAlignment w:val="center"/>
              <w:rPr>
                <w:rFonts w:ascii="仿宋" w:hAnsi="仿宋" w:eastAsia="仿宋" w:cs="仿宋"/>
                <w:color w:val="auto"/>
                <w:sz w:val="20"/>
                <w:highlight w:val="none"/>
              </w:rPr>
            </w:pPr>
          </w:p>
        </w:tc>
      </w:tr>
      <w:tr w14:paraId="24C2CB03">
        <w:tblPrEx>
          <w:tblCellMar>
            <w:top w:w="0" w:type="dxa"/>
            <w:left w:w="0" w:type="dxa"/>
            <w:bottom w:w="0" w:type="dxa"/>
            <w:right w:w="0" w:type="dxa"/>
          </w:tblCellMar>
        </w:tblPrEx>
        <w:trPr>
          <w:trHeight w:val="454" w:hRule="exact"/>
        </w:trPr>
        <w:tc>
          <w:tcPr>
            <w:tcW w:w="19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EAC318">
            <w:pPr>
              <w:spacing w:line="300" w:lineRule="exact"/>
              <w:jc w:val="left"/>
              <w:textAlignment w:val="center"/>
              <w:rPr>
                <w:rFonts w:ascii="仿宋" w:hAnsi="仿宋" w:eastAsia="仿宋" w:cs="仿宋"/>
                <w:color w:val="auto"/>
                <w:sz w:val="20"/>
                <w:highlight w:val="none"/>
              </w:rPr>
            </w:pPr>
            <w:r>
              <w:rPr>
                <w:rFonts w:ascii="仿宋" w:hAnsi="仿宋" w:eastAsia="仿宋" w:cs="仿宋"/>
                <w:color w:val="auto"/>
                <w:sz w:val="20"/>
                <w:highlight w:val="none"/>
              </w:rPr>
              <w:t xml:space="preserve">   </w:t>
            </w:r>
            <w:r>
              <w:rPr>
                <w:rFonts w:hint="eastAsia" w:ascii="仿宋" w:hAnsi="仿宋" w:eastAsia="仿宋" w:cs="仿宋"/>
                <w:color w:val="auto"/>
                <w:sz w:val="20"/>
                <w:highlight w:val="none"/>
              </w:rPr>
              <w:t>其中：</w:t>
            </w:r>
            <w:r>
              <w:rPr>
                <w:rFonts w:ascii="仿宋" w:hAnsi="仿宋" w:eastAsia="仿宋" w:cs="仿宋"/>
                <w:color w:val="auto"/>
                <w:sz w:val="20"/>
                <w:highlight w:val="none"/>
              </w:rPr>
              <w:t>1.</w:t>
            </w:r>
            <w:r>
              <w:rPr>
                <w:rFonts w:hint="eastAsia" w:ascii="仿宋" w:hAnsi="仿宋" w:eastAsia="仿宋" w:cs="仿宋"/>
                <w:color w:val="auto"/>
                <w:sz w:val="20"/>
                <w:highlight w:val="none"/>
              </w:rPr>
              <w:t>土地（平方米）</w:t>
            </w:r>
          </w:p>
        </w:tc>
        <w:tc>
          <w:tcPr>
            <w:tcW w:w="6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9C95AD">
            <w:pPr>
              <w:spacing w:line="300" w:lineRule="exact"/>
              <w:jc w:val="center"/>
              <w:textAlignment w:val="center"/>
              <w:rPr>
                <w:rFonts w:ascii="仿宋" w:hAnsi="仿宋" w:eastAsia="仿宋" w:cs="仿宋"/>
                <w:color w:val="auto"/>
                <w:sz w:val="20"/>
                <w:highlight w:val="none"/>
              </w:rPr>
            </w:pPr>
          </w:p>
        </w:tc>
        <w:tc>
          <w:tcPr>
            <w:tcW w:w="66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9E7877">
            <w:pPr>
              <w:spacing w:line="300" w:lineRule="exact"/>
              <w:jc w:val="center"/>
              <w:textAlignment w:val="center"/>
              <w:rPr>
                <w:rFonts w:ascii="仿宋" w:hAnsi="仿宋" w:eastAsia="仿宋" w:cs="仿宋"/>
                <w:color w:val="auto"/>
                <w:sz w:val="20"/>
                <w:highlight w:val="none"/>
              </w:rPr>
            </w:pPr>
          </w:p>
        </w:tc>
        <w:tc>
          <w:tcPr>
            <w:tcW w:w="10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577EC3">
            <w:pPr>
              <w:spacing w:line="300" w:lineRule="exact"/>
              <w:jc w:val="center"/>
              <w:textAlignment w:val="center"/>
              <w:rPr>
                <w:rFonts w:ascii="仿宋" w:hAnsi="仿宋" w:eastAsia="仿宋" w:cs="仿宋"/>
                <w:color w:val="auto"/>
                <w:sz w:val="20"/>
                <w:highlight w:val="none"/>
              </w:rPr>
            </w:pP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F34C43">
            <w:pPr>
              <w:spacing w:line="300" w:lineRule="exact"/>
              <w:jc w:val="center"/>
              <w:textAlignment w:val="center"/>
              <w:rPr>
                <w:rFonts w:ascii="仿宋" w:hAnsi="仿宋" w:eastAsia="仿宋" w:cs="仿宋"/>
                <w:color w:val="auto"/>
                <w:sz w:val="20"/>
                <w:highlight w:val="none"/>
              </w:rPr>
            </w:pPr>
          </w:p>
        </w:tc>
      </w:tr>
      <w:tr w14:paraId="7E1FF733">
        <w:tblPrEx>
          <w:tblCellMar>
            <w:top w:w="0" w:type="dxa"/>
            <w:left w:w="0" w:type="dxa"/>
            <w:bottom w:w="0" w:type="dxa"/>
            <w:right w:w="0" w:type="dxa"/>
          </w:tblCellMar>
        </w:tblPrEx>
        <w:trPr>
          <w:trHeight w:val="454" w:hRule="exact"/>
        </w:trPr>
        <w:tc>
          <w:tcPr>
            <w:tcW w:w="19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CEBEA8">
            <w:pPr>
              <w:spacing w:line="300" w:lineRule="exact"/>
              <w:jc w:val="left"/>
              <w:textAlignment w:val="center"/>
              <w:rPr>
                <w:rFonts w:ascii="仿宋" w:hAnsi="仿宋" w:eastAsia="仿宋" w:cs="仿宋"/>
                <w:color w:val="auto"/>
                <w:sz w:val="20"/>
                <w:highlight w:val="none"/>
              </w:rPr>
            </w:pPr>
            <w:r>
              <w:rPr>
                <w:rFonts w:ascii="仿宋" w:hAnsi="仿宋" w:eastAsia="仿宋" w:cs="仿宋"/>
                <w:color w:val="auto"/>
                <w:sz w:val="20"/>
                <w:highlight w:val="none"/>
              </w:rPr>
              <w:t xml:space="preserve">         2.</w:t>
            </w:r>
            <w:r>
              <w:rPr>
                <w:rFonts w:hint="eastAsia" w:ascii="仿宋" w:hAnsi="仿宋" w:eastAsia="仿宋" w:cs="仿宋"/>
                <w:color w:val="auto"/>
                <w:sz w:val="20"/>
                <w:highlight w:val="none"/>
              </w:rPr>
              <w:t>房屋（平方米）</w:t>
            </w:r>
          </w:p>
        </w:tc>
        <w:tc>
          <w:tcPr>
            <w:tcW w:w="6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985940">
            <w:pPr>
              <w:spacing w:line="300" w:lineRule="exact"/>
              <w:jc w:val="center"/>
              <w:textAlignment w:val="center"/>
              <w:rPr>
                <w:rFonts w:ascii="仿宋" w:hAnsi="仿宋" w:eastAsia="仿宋" w:cs="仿宋"/>
                <w:color w:val="auto"/>
                <w:sz w:val="20"/>
                <w:highlight w:val="none"/>
              </w:rPr>
            </w:pPr>
          </w:p>
        </w:tc>
        <w:tc>
          <w:tcPr>
            <w:tcW w:w="66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E51C97">
            <w:pPr>
              <w:spacing w:line="300" w:lineRule="exact"/>
              <w:jc w:val="center"/>
              <w:textAlignment w:val="center"/>
              <w:rPr>
                <w:rFonts w:ascii="仿宋" w:hAnsi="仿宋" w:eastAsia="仿宋" w:cs="仿宋"/>
                <w:color w:val="auto"/>
                <w:sz w:val="20"/>
                <w:highlight w:val="none"/>
              </w:rPr>
            </w:pPr>
          </w:p>
        </w:tc>
        <w:tc>
          <w:tcPr>
            <w:tcW w:w="10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0C4739">
            <w:pPr>
              <w:spacing w:line="300" w:lineRule="exact"/>
              <w:jc w:val="center"/>
              <w:textAlignment w:val="center"/>
              <w:rPr>
                <w:rFonts w:ascii="仿宋" w:hAnsi="仿宋" w:eastAsia="仿宋" w:cs="仿宋"/>
                <w:color w:val="auto"/>
                <w:sz w:val="20"/>
                <w:highlight w:val="none"/>
              </w:rPr>
            </w:pP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3EC000">
            <w:pPr>
              <w:spacing w:line="300" w:lineRule="exact"/>
              <w:jc w:val="center"/>
              <w:textAlignment w:val="center"/>
              <w:rPr>
                <w:rFonts w:ascii="仿宋" w:hAnsi="仿宋" w:eastAsia="仿宋" w:cs="仿宋"/>
                <w:color w:val="auto"/>
                <w:sz w:val="20"/>
                <w:highlight w:val="none"/>
              </w:rPr>
            </w:pPr>
          </w:p>
        </w:tc>
      </w:tr>
      <w:tr w14:paraId="628E382C">
        <w:tblPrEx>
          <w:tblCellMar>
            <w:top w:w="0" w:type="dxa"/>
            <w:left w:w="0" w:type="dxa"/>
            <w:bottom w:w="0" w:type="dxa"/>
            <w:right w:w="0" w:type="dxa"/>
          </w:tblCellMar>
        </w:tblPrEx>
        <w:trPr>
          <w:trHeight w:val="454" w:hRule="exact"/>
        </w:trPr>
        <w:tc>
          <w:tcPr>
            <w:tcW w:w="19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F88C32">
            <w:pPr>
              <w:spacing w:line="240" w:lineRule="exact"/>
              <w:jc w:val="left"/>
              <w:textAlignment w:val="center"/>
              <w:rPr>
                <w:rFonts w:ascii="仿宋" w:hAnsi="仿宋" w:eastAsia="仿宋" w:cs="仿宋"/>
                <w:b/>
                <w:color w:val="auto"/>
                <w:sz w:val="20"/>
                <w:highlight w:val="none"/>
              </w:rPr>
            </w:pPr>
            <w:r>
              <w:rPr>
                <w:rFonts w:hint="eastAsia" w:ascii="仿宋" w:hAnsi="仿宋" w:eastAsia="仿宋" w:cs="仿宋"/>
                <w:b/>
                <w:color w:val="auto"/>
                <w:sz w:val="20"/>
                <w:highlight w:val="none"/>
              </w:rPr>
              <w:t>（二）通用设备（个、台、辆等）</w:t>
            </w:r>
          </w:p>
        </w:tc>
        <w:tc>
          <w:tcPr>
            <w:tcW w:w="1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9B7C51">
            <w:pPr>
              <w:spacing w:line="240" w:lineRule="exact"/>
              <w:jc w:val="center"/>
              <w:textAlignment w:val="center"/>
              <w:rPr>
                <w:rFonts w:hint="default" w:ascii="仿宋" w:hAnsi="仿宋" w:eastAsia="仿宋" w:cs="仿宋"/>
                <w:b/>
                <w:color w:val="auto"/>
                <w:sz w:val="20"/>
                <w:highlight w:val="none"/>
                <w:lang w:val="en-US" w:eastAsia="zh-CN"/>
              </w:rPr>
            </w:pPr>
            <w:r>
              <w:rPr>
                <w:rFonts w:hint="eastAsia" w:ascii="仿宋" w:hAnsi="仿宋" w:eastAsia="仿宋" w:cs="仿宋"/>
                <w:b/>
                <w:color w:val="auto"/>
                <w:sz w:val="20"/>
                <w:highlight w:val="none"/>
                <w:lang w:val="en-US" w:eastAsia="zh-CN"/>
              </w:rPr>
              <w:t>424</w:t>
            </w:r>
          </w:p>
        </w:tc>
        <w:tc>
          <w:tcPr>
            <w:tcW w:w="11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FB4ECE">
            <w:pPr>
              <w:spacing w:line="240" w:lineRule="exact"/>
              <w:jc w:val="center"/>
              <w:textAlignment w:val="center"/>
              <w:rPr>
                <w:rFonts w:hint="default" w:ascii="仿宋" w:hAnsi="仿宋" w:eastAsia="仿宋" w:cs="仿宋"/>
                <w:b/>
                <w:color w:val="auto"/>
                <w:sz w:val="20"/>
                <w:highlight w:val="none"/>
                <w:lang w:val="en-US" w:eastAsia="zh-CN"/>
              </w:rPr>
            </w:pPr>
            <w:r>
              <w:rPr>
                <w:rFonts w:hint="eastAsia" w:ascii="仿宋" w:hAnsi="仿宋" w:eastAsia="仿宋" w:cs="仿宋"/>
                <w:b/>
                <w:color w:val="auto"/>
                <w:sz w:val="20"/>
                <w:highlight w:val="none"/>
                <w:lang w:val="en-US" w:eastAsia="zh-CN"/>
              </w:rPr>
              <w:t>222.77</w:t>
            </w:r>
          </w:p>
        </w:tc>
        <w:tc>
          <w:tcPr>
            <w:tcW w:w="1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B7C894">
            <w:pPr>
              <w:spacing w:line="240" w:lineRule="exact"/>
              <w:jc w:val="center"/>
              <w:textAlignment w:val="center"/>
              <w:rPr>
                <w:rFonts w:hint="default" w:ascii="仿宋" w:hAnsi="仿宋" w:eastAsia="仿宋" w:cs="仿宋"/>
                <w:b/>
                <w:color w:val="auto"/>
                <w:sz w:val="20"/>
                <w:highlight w:val="none"/>
                <w:lang w:val="en-US" w:eastAsia="zh-CN"/>
              </w:rPr>
            </w:pPr>
            <w:r>
              <w:rPr>
                <w:rFonts w:hint="eastAsia" w:ascii="仿宋" w:hAnsi="仿宋" w:eastAsia="仿宋" w:cs="仿宋"/>
                <w:b/>
                <w:color w:val="auto"/>
                <w:sz w:val="20"/>
                <w:highlight w:val="none"/>
                <w:lang w:val="en-US" w:eastAsia="zh-CN"/>
              </w:rPr>
              <w:t>155.00</w:t>
            </w:r>
          </w:p>
        </w:tc>
        <w:tc>
          <w:tcPr>
            <w:tcW w:w="13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3153C1">
            <w:pPr>
              <w:spacing w:line="240" w:lineRule="exact"/>
              <w:jc w:val="center"/>
              <w:textAlignment w:val="center"/>
              <w:rPr>
                <w:rFonts w:hint="default" w:ascii="仿宋" w:hAnsi="仿宋" w:eastAsia="仿宋" w:cs="仿宋"/>
                <w:b/>
                <w:color w:val="auto"/>
                <w:sz w:val="20"/>
                <w:highlight w:val="none"/>
                <w:lang w:val="en-US" w:eastAsia="zh-CN"/>
              </w:rPr>
            </w:pPr>
            <w:r>
              <w:rPr>
                <w:rFonts w:hint="eastAsia" w:ascii="仿宋" w:hAnsi="仿宋" w:eastAsia="仿宋" w:cs="仿宋"/>
                <w:b/>
                <w:color w:val="auto"/>
                <w:sz w:val="20"/>
                <w:highlight w:val="none"/>
                <w:lang w:val="en-US" w:eastAsia="zh-CN"/>
              </w:rPr>
              <w:t>67.77</w:t>
            </w:r>
          </w:p>
        </w:tc>
      </w:tr>
      <w:tr w14:paraId="3BF0535B">
        <w:tblPrEx>
          <w:tblCellMar>
            <w:top w:w="0" w:type="dxa"/>
            <w:left w:w="0" w:type="dxa"/>
            <w:bottom w:w="0" w:type="dxa"/>
            <w:right w:w="0" w:type="dxa"/>
          </w:tblCellMar>
        </w:tblPrEx>
        <w:trPr>
          <w:trHeight w:val="454" w:hRule="exact"/>
        </w:trPr>
        <w:tc>
          <w:tcPr>
            <w:tcW w:w="19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666B93">
            <w:pPr>
              <w:spacing w:line="240" w:lineRule="exact"/>
              <w:jc w:val="left"/>
              <w:textAlignment w:val="center"/>
              <w:rPr>
                <w:rFonts w:ascii="仿宋" w:hAnsi="仿宋" w:eastAsia="仿宋" w:cs="仿宋"/>
                <w:color w:val="auto"/>
                <w:sz w:val="20"/>
                <w:highlight w:val="none"/>
              </w:rPr>
            </w:pPr>
            <w:r>
              <w:rPr>
                <w:rFonts w:ascii="仿宋" w:hAnsi="仿宋" w:eastAsia="仿宋" w:cs="仿宋"/>
                <w:color w:val="auto"/>
                <w:sz w:val="20"/>
                <w:highlight w:val="none"/>
              </w:rPr>
              <w:t xml:space="preserve">    </w:t>
            </w:r>
            <w:r>
              <w:rPr>
                <w:rFonts w:hint="eastAsia" w:ascii="仿宋" w:hAnsi="仿宋" w:eastAsia="仿宋" w:cs="仿宋"/>
                <w:color w:val="auto"/>
                <w:sz w:val="20"/>
                <w:highlight w:val="none"/>
              </w:rPr>
              <w:t>其中：</w:t>
            </w:r>
            <w:r>
              <w:rPr>
                <w:rFonts w:ascii="仿宋" w:hAnsi="仿宋" w:eastAsia="仿宋" w:cs="仿宋"/>
                <w:color w:val="auto"/>
                <w:sz w:val="20"/>
                <w:highlight w:val="none"/>
              </w:rPr>
              <w:t>1.</w:t>
            </w:r>
            <w:r>
              <w:rPr>
                <w:rFonts w:hint="eastAsia" w:ascii="仿宋" w:hAnsi="仿宋" w:eastAsia="仿宋" w:cs="仿宋"/>
                <w:color w:val="auto"/>
                <w:sz w:val="20"/>
                <w:highlight w:val="none"/>
              </w:rPr>
              <w:t>车辆</w:t>
            </w:r>
          </w:p>
        </w:tc>
        <w:tc>
          <w:tcPr>
            <w:tcW w:w="1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337A84">
            <w:pPr>
              <w:spacing w:line="240" w:lineRule="exact"/>
              <w:jc w:val="center"/>
              <w:textAlignment w:val="center"/>
              <w:rPr>
                <w:rFonts w:hint="eastAsia" w:ascii="仿宋" w:hAnsi="仿宋" w:eastAsia="仿宋" w:cs="仿宋"/>
                <w:color w:val="auto"/>
                <w:sz w:val="20"/>
                <w:highlight w:val="none"/>
                <w:lang w:val="en-US" w:eastAsia="zh-CN"/>
              </w:rPr>
            </w:pPr>
            <w:r>
              <w:rPr>
                <w:rFonts w:hint="eastAsia" w:ascii="仿宋" w:hAnsi="仿宋" w:eastAsia="仿宋" w:cs="仿宋"/>
                <w:color w:val="auto"/>
                <w:sz w:val="20"/>
                <w:highlight w:val="none"/>
                <w:lang w:val="en-US" w:eastAsia="zh-CN"/>
              </w:rPr>
              <w:t>1</w:t>
            </w:r>
          </w:p>
        </w:tc>
        <w:tc>
          <w:tcPr>
            <w:tcW w:w="11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70A536">
            <w:pPr>
              <w:spacing w:line="240" w:lineRule="exact"/>
              <w:jc w:val="center"/>
              <w:textAlignment w:val="center"/>
              <w:rPr>
                <w:rFonts w:hint="default" w:ascii="仿宋" w:hAnsi="仿宋" w:eastAsia="仿宋" w:cs="仿宋"/>
                <w:color w:val="auto"/>
                <w:sz w:val="20"/>
                <w:highlight w:val="none"/>
                <w:lang w:val="en-US" w:eastAsia="zh-CN"/>
              </w:rPr>
            </w:pPr>
            <w:r>
              <w:rPr>
                <w:rFonts w:hint="eastAsia" w:ascii="仿宋" w:hAnsi="仿宋" w:eastAsia="仿宋" w:cs="仿宋"/>
                <w:color w:val="auto"/>
                <w:sz w:val="20"/>
                <w:highlight w:val="none"/>
                <w:lang w:val="en-US" w:eastAsia="zh-CN"/>
              </w:rPr>
              <w:t>25.86</w:t>
            </w:r>
          </w:p>
        </w:tc>
        <w:tc>
          <w:tcPr>
            <w:tcW w:w="1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97DC94">
            <w:pPr>
              <w:spacing w:line="240" w:lineRule="exact"/>
              <w:jc w:val="center"/>
              <w:textAlignment w:val="center"/>
              <w:rPr>
                <w:rFonts w:hint="default" w:ascii="仿宋" w:hAnsi="仿宋" w:eastAsia="仿宋" w:cs="仿宋"/>
                <w:color w:val="auto"/>
                <w:sz w:val="20"/>
                <w:highlight w:val="none"/>
                <w:lang w:val="en-US" w:eastAsia="zh-CN"/>
              </w:rPr>
            </w:pPr>
            <w:r>
              <w:rPr>
                <w:rFonts w:hint="eastAsia" w:ascii="仿宋" w:hAnsi="仿宋" w:eastAsia="仿宋" w:cs="仿宋"/>
                <w:color w:val="auto"/>
                <w:sz w:val="20"/>
                <w:highlight w:val="none"/>
                <w:lang w:val="en-US" w:eastAsia="zh-CN"/>
              </w:rPr>
              <w:t>25.86</w:t>
            </w:r>
          </w:p>
        </w:tc>
        <w:tc>
          <w:tcPr>
            <w:tcW w:w="13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CAD39C">
            <w:pPr>
              <w:spacing w:line="240" w:lineRule="exact"/>
              <w:jc w:val="center"/>
              <w:textAlignment w:val="center"/>
              <w:rPr>
                <w:rFonts w:hint="eastAsia" w:ascii="仿宋" w:hAnsi="仿宋" w:eastAsia="仿宋" w:cs="仿宋"/>
                <w:color w:val="auto"/>
                <w:sz w:val="20"/>
                <w:highlight w:val="none"/>
                <w:lang w:val="en-US" w:eastAsia="zh-CN"/>
              </w:rPr>
            </w:pPr>
            <w:r>
              <w:rPr>
                <w:rFonts w:hint="eastAsia" w:ascii="仿宋" w:hAnsi="仿宋" w:eastAsia="仿宋" w:cs="仿宋"/>
                <w:color w:val="auto"/>
                <w:sz w:val="20"/>
                <w:highlight w:val="none"/>
                <w:lang w:val="en-US" w:eastAsia="zh-CN"/>
              </w:rPr>
              <w:t>0</w:t>
            </w:r>
          </w:p>
        </w:tc>
      </w:tr>
      <w:tr w14:paraId="25B0B9F8">
        <w:tblPrEx>
          <w:tblCellMar>
            <w:top w:w="0" w:type="dxa"/>
            <w:left w:w="0" w:type="dxa"/>
            <w:bottom w:w="0" w:type="dxa"/>
            <w:right w:w="0" w:type="dxa"/>
          </w:tblCellMar>
        </w:tblPrEx>
        <w:trPr>
          <w:trHeight w:val="460" w:hRule="exact"/>
        </w:trPr>
        <w:tc>
          <w:tcPr>
            <w:tcW w:w="19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B72BB6">
            <w:pPr>
              <w:spacing w:line="200" w:lineRule="exact"/>
              <w:jc w:val="left"/>
              <w:textAlignment w:val="center"/>
              <w:rPr>
                <w:rFonts w:ascii="仿宋" w:hAnsi="仿宋" w:eastAsia="仿宋" w:cs="仿宋"/>
                <w:color w:val="auto"/>
                <w:sz w:val="20"/>
                <w:highlight w:val="none"/>
              </w:rPr>
            </w:pPr>
            <w:r>
              <w:rPr>
                <w:rFonts w:ascii="仿宋" w:hAnsi="仿宋" w:eastAsia="仿宋" w:cs="仿宋"/>
                <w:color w:val="auto"/>
                <w:sz w:val="20"/>
                <w:highlight w:val="none"/>
              </w:rPr>
              <w:t xml:space="preserve">          2.</w:t>
            </w:r>
            <w:r>
              <w:rPr>
                <w:rFonts w:hint="eastAsia" w:ascii="仿宋" w:hAnsi="仿宋" w:eastAsia="仿宋" w:cs="仿宋"/>
                <w:color w:val="auto"/>
                <w:sz w:val="20"/>
                <w:highlight w:val="none"/>
              </w:rPr>
              <w:t>单价</w:t>
            </w:r>
            <w:r>
              <w:rPr>
                <w:rFonts w:ascii="仿宋" w:hAnsi="仿宋" w:eastAsia="仿宋" w:cs="仿宋"/>
                <w:color w:val="auto"/>
                <w:sz w:val="20"/>
                <w:highlight w:val="none"/>
              </w:rPr>
              <w:t>50</w:t>
            </w:r>
            <w:r>
              <w:rPr>
                <w:rFonts w:hint="eastAsia" w:ascii="仿宋" w:hAnsi="仿宋" w:eastAsia="仿宋" w:cs="仿宋"/>
                <w:color w:val="auto"/>
                <w:sz w:val="20"/>
                <w:highlight w:val="none"/>
              </w:rPr>
              <w:t>万（含）以上（不含车辆）</w:t>
            </w:r>
          </w:p>
        </w:tc>
        <w:tc>
          <w:tcPr>
            <w:tcW w:w="6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1EDA4F">
            <w:pPr>
              <w:spacing w:line="200" w:lineRule="exact"/>
              <w:jc w:val="center"/>
              <w:textAlignment w:val="center"/>
              <w:rPr>
                <w:rFonts w:ascii="仿宋" w:hAnsi="仿宋" w:eastAsia="仿宋" w:cs="仿宋"/>
                <w:color w:val="auto"/>
                <w:sz w:val="20"/>
                <w:highlight w:val="none"/>
              </w:rPr>
            </w:pPr>
          </w:p>
        </w:tc>
        <w:tc>
          <w:tcPr>
            <w:tcW w:w="66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529BE1">
            <w:pPr>
              <w:spacing w:line="200" w:lineRule="exact"/>
              <w:jc w:val="center"/>
              <w:textAlignment w:val="center"/>
              <w:rPr>
                <w:rFonts w:ascii="仿宋" w:hAnsi="仿宋" w:eastAsia="仿宋" w:cs="仿宋"/>
                <w:b/>
                <w:color w:val="auto"/>
                <w:sz w:val="20"/>
                <w:highlight w:val="none"/>
              </w:rPr>
            </w:pPr>
          </w:p>
        </w:tc>
        <w:tc>
          <w:tcPr>
            <w:tcW w:w="10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F5C69B">
            <w:pPr>
              <w:spacing w:line="200" w:lineRule="exact"/>
              <w:jc w:val="center"/>
              <w:textAlignment w:val="center"/>
              <w:rPr>
                <w:rFonts w:ascii="仿宋" w:hAnsi="仿宋" w:eastAsia="仿宋" w:cs="仿宋"/>
                <w:color w:val="auto"/>
                <w:sz w:val="20"/>
                <w:highlight w:val="none"/>
              </w:rPr>
            </w:pP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D16449">
            <w:pPr>
              <w:spacing w:line="200" w:lineRule="exact"/>
              <w:jc w:val="center"/>
              <w:textAlignment w:val="center"/>
              <w:rPr>
                <w:rFonts w:ascii="仿宋" w:hAnsi="仿宋" w:eastAsia="仿宋" w:cs="仿宋"/>
                <w:color w:val="auto"/>
                <w:sz w:val="20"/>
                <w:highlight w:val="none"/>
              </w:rPr>
            </w:pPr>
          </w:p>
        </w:tc>
      </w:tr>
      <w:tr w14:paraId="5727DFD0">
        <w:tblPrEx>
          <w:tblCellMar>
            <w:top w:w="0" w:type="dxa"/>
            <w:left w:w="0" w:type="dxa"/>
            <w:bottom w:w="0" w:type="dxa"/>
            <w:right w:w="0" w:type="dxa"/>
          </w:tblCellMar>
        </w:tblPrEx>
        <w:trPr>
          <w:trHeight w:val="454" w:hRule="exact"/>
        </w:trPr>
        <w:tc>
          <w:tcPr>
            <w:tcW w:w="19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C90A86">
            <w:pPr>
              <w:spacing w:line="240" w:lineRule="exact"/>
              <w:jc w:val="left"/>
              <w:textAlignment w:val="center"/>
              <w:rPr>
                <w:rFonts w:ascii="仿宋" w:hAnsi="仿宋" w:eastAsia="仿宋" w:cs="仿宋"/>
                <w:b/>
                <w:color w:val="auto"/>
                <w:sz w:val="20"/>
                <w:highlight w:val="none"/>
              </w:rPr>
            </w:pPr>
            <w:r>
              <w:rPr>
                <w:rFonts w:hint="eastAsia" w:ascii="仿宋" w:hAnsi="仿宋" w:eastAsia="仿宋" w:cs="仿宋"/>
                <w:b/>
                <w:color w:val="auto"/>
                <w:sz w:val="20"/>
                <w:highlight w:val="none"/>
              </w:rPr>
              <w:t>（三）专用设备（个、台等）</w:t>
            </w:r>
          </w:p>
        </w:tc>
        <w:tc>
          <w:tcPr>
            <w:tcW w:w="6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6617E8">
            <w:pPr>
              <w:spacing w:line="240" w:lineRule="exact"/>
              <w:jc w:val="center"/>
              <w:textAlignment w:val="center"/>
              <w:rPr>
                <w:rFonts w:hint="eastAsia" w:ascii="仿宋" w:hAnsi="仿宋" w:eastAsia="仿宋" w:cs="仿宋"/>
                <w:b/>
                <w:color w:val="auto"/>
                <w:sz w:val="20"/>
                <w:highlight w:val="none"/>
                <w:lang w:val="en-US" w:eastAsia="zh-CN"/>
              </w:rPr>
            </w:pPr>
            <w:r>
              <w:rPr>
                <w:rFonts w:hint="eastAsia" w:ascii="仿宋" w:hAnsi="仿宋" w:eastAsia="仿宋" w:cs="仿宋"/>
                <w:b/>
                <w:color w:val="auto"/>
                <w:sz w:val="20"/>
                <w:highlight w:val="none"/>
                <w:lang w:val="en-US" w:eastAsia="zh-CN"/>
              </w:rPr>
              <w:t>5</w:t>
            </w:r>
          </w:p>
        </w:tc>
        <w:tc>
          <w:tcPr>
            <w:tcW w:w="66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30B995">
            <w:pPr>
              <w:spacing w:line="240" w:lineRule="exact"/>
              <w:jc w:val="center"/>
              <w:textAlignment w:val="center"/>
              <w:rPr>
                <w:rFonts w:hint="default" w:ascii="仿宋" w:hAnsi="仿宋" w:eastAsia="仿宋" w:cs="仿宋"/>
                <w:b/>
                <w:color w:val="auto"/>
                <w:sz w:val="20"/>
                <w:highlight w:val="none"/>
                <w:lang w:val="en-US" w:eastAsia="zh-CN"/>
              </w:rPr>
            </w:pPr>
            <w:r>
              <w:rPr>
                <w:rFonts w:hint="eastAsia" w:ascii="仿宋" w:hAnsi="仿宋" w:eastAsia="仿宋" w:cs="仿宋"/>
                <w:b/>
                <w:color w:val="auto"/>
                <w:sz w:val="20"/>
                <w:highlight w:val="none"/>
                <w:lang w:val="en-US" w:eastAsia="zh-CN"/>
              </w:rPr>
              <w:t>244.05</w:t>
            </w:r>
          </w:p>
        </w:tc>
        <w:tc>
          <w:tcPr>
            <w:tcW w:w="10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867748">
            <w:pPr>
              <w:spacing w:line="240" w:lineRule="exact"/>
              <w:jc w:val="center"/>
              <w:textAlignment w:val="center"/>
              <w:rPr>
                <w:rFonts w:hint="default" w:ascii="仿宋" w:hAnsi="仿宋" w:eastAsia="仿宋" w:cs="仿宋"/>
                <w:b/>
                <w:color w:val="auto"/>
                <w:sz w:val="20"/>
                <w:highlight w:val="none"/>
                <w:lang w:val="en-US" w:eastAsia="zh-CN"/>
              </w:rPr>
            </w:pPr>
            <w:r>
              <w:rPr>
                <w:rFonts w:hint="eastAsia" w:ascii="仿宋" w:hAnsi="仿宋" w:eastAsia="仿宋" w:cs="仿宋"/>
                <w:b/>
                <w:color w:val="auto"/>
                <w:sz w:val="20"/>
                <w:highlight w:val="none"/>
                <w:lang w:val="en-US" w:eastAsia="zh-CN"/>
              </w:rPr>
              <w:t>174.32</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17F618">
            <w:pPr>
              <w:spacing w:line="240" w:lineRule="exact"/>
              <w:jc w:val="center"/>
              <w:textAlignment w:val="center"/>
              <w:rPr>
                <w:rFonts w:hint="default" w:ascii="仿宋" w:hAnsi="仿宋" w:eastAsia="仿宋" w:cs="仿宋"/>
                <w:b/>
                <w:color w:val="auto"/>
                <w:sz w:val="20"/>
                <w:highlight w:val="none"/>
                <w:lang w:val="en-US" w:eastAsia="zh-CN"/>
              </w:rPr>
            </w:pPr>
            <w:r>
              <w:rPr>
                <w:rFonts w:hint="eastAsia" w:ascii="仿宋" w:hAnsi="仿宋" w:eastAsia="仿宋" w:cs="仿宋"/>
                <w:b/>
                <w:color w:val="auto"/>
                <w:sz w:val="20"/>
                <w:highlight w:val="none"/>
                <w:lang w:val="en-US" w:eastAsia="zh-CN"/>
              </w:rPr>
              <w:t>69.73</w:t>
            </w:r>
          </w:p>
        </w:tc>
      </w:tr>
      <w:tr w14:paraId="3049C80E">
        <w:tblPrEx>
          <w:tblCellMar>
            <w:top w:w="0" w:type="dxa"/>
            <w:left w:w="0" w:type="dxa"/>
            <w:bottom w:w="0" w:type="dxa"/>
            <w:right w:w="0" w:type="dxa"/>
          </w:tblCellMar>
        </w:tblPrEx>
        <w:trPr>
          <w:trHeight w:val="454" w:hRule="exact"/>
        </w:trPr>
        <w:tc>
          <w:tcPr>
            <w:tcW w:w="19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EF254F">
            <w:pPr>
              <w:spacing w:line="240" w:lineRule="exact"/>
              <w:jc w:val="left"/>
              <w:textAlignment w:val="center"/>
              <w:rPr>
                <w:rFonts w:ascii="仿宋" w:hAnsi="仿宋" w:eastAsia="仿宋" w:cs="仿宋"/>
                <w:color w:val="auto"/>
                <w:sz w:val="20"/>
                <w:highlight w:val="none"/>
              </w:rPr>
            </w:pPr>
            <w:r>
              <w:rPr>
                <w:rFonts w:ascii="仿宋" w:hAnsi="仿宋" w:eastAsia="仿宋" w:cs="仿宋"/>
                <w:color w:val="auto"/>
                <w:sz w:val="20"/>
                <w:highlight w:val="none"/>
              </w:rPr>
              <w:t xml:space="preserve">    </w:t>
            </w:r>
            <w:r>
              <w:rPr>
                <w:rFonts w:hint="eastAsia" w:ascii="仿宋" w:hAnsi="仿宋" w:eastAsia="仿宋" w:cs="仿宋"/>
                <w:color w:val="auto"/>
                <w:sz w:val="20"/>
                <w:highlight w:val="none"/>
              </w:rPr>
              <w:t>其中：单价</w:t>
            </w:r>
            <w:r>
              <w:rPr>
                <w:rFonts w:ascii="仿宋" w:hAnsi="仿宋" w:eastAsia="仿宋" w:cs="仿宋"/>
                <w:color w:val="auto"/>
                <w:sz w:val="20"/>
                <w:highlight w:val="none"/>
              </w:rPr>
              <w:t>100</w:t>
            </w:r>
            <w:r>
              <w:rPr>
                <w:rFonts w:hint="eastAsia" w:ascii="仿宋" w:hAnsi="仿宋" w:eastAsia="仿宋" w:cs="仿宋"/>
                <w:color w:val="auto"/>
                <w:sz w:val="20"/>
                <w:highlight w:val="none"/>
              </w:rPr>
              <w:t>万（含）以上</w:t>
            </w:r>
          </w:p>
        </w:tc>
        <w:tc>
          <w:tcPr>
            <w:tcW w:w="6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41B03F">
            <w:pPr>
              <w:spacing w:line="240" w:lineRule="exact"/>
              <w:jc w:val="center"/>
              <w:textAlignment w:val="center"/>
              <w:rPr>
                <w:rFonts w:ascii="仿宋" w:hAnsi="仿宋" w:eastAsia="仿宋" w:cs="仿宋"/>
                <w:color w:val="auto"/>
                <w:sz w:val="20"/>
                <w:highlight w:val="none"/>
              </w:rPr>
            </w:pPr>
          </w:p>
        </w:tc>
        <w:tc>
          <w:tcPr>
            <w:tcW w:w="66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30017E">
            <w:pPr>
              <w:spacing w:line="240" w:lineRule="exact"/>
              <w:jc w:val="center"/>
              <w:textAlignment w:val="center"/>
              <w:rPr>
                <w:rFonts w:ascii="仿宋" w:hAnsi="仿宋" w:eastAsia="仿宋" w:cs="仿宋"/>
                <w:color w:val="auto"/>
                <w:sz w:val="20"/>
                <w:highlight w:val="none"/>
              </w:rPr>
            </w:pPr>
          </w:p>
        </w:tc>
        <w:tc>
          <w:tcPr>
            <w:tcW w:w="10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1D55B0">
            <w:pPr>
              <w:spacing w:line="240" w:lineRule="exact"/>
              <w:jc w:val="center"/>
              <w:textAlignment w:val="center"/>
              <w:rPr>
                <w:rFonts w:ascii="仿宋" w:hAnsi="仿宋" w:eastAsia="仿宋" w:cs="仿宋"/>
                <w:color w:val="auto"/>
                <w:sz w:val="20"/>
                <w:highlight w:val="none"/>
              </w:rPr>
            </w:pP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8EEDDA">
            <w:pPr>
              <w:spacing w:line="240" w:lineRule="exact"/>
              <w:jc w:val="center"/>
              <w:textAlignment w:val="center"/>
              <w:rPr>
                <w:rFonts w:ascii="仿宋" w:hAnsi="仿宋" w:eastAsia="仿宋" w:cs="仿宋"/>
                <w:color w:val="auto"/>
                <w:sz w:val="20"/>
                <w:highlight w:val="none"/>
              </w:rPr>
            </w:pPr>
          </w:p>
        </w:tc>
      </w:tr>
      <w:tr w14:paraId="584415A2">
        <w:tblPrEx>
          <w:tblCellMar>
            <w:top w:w="0" w:type="dxa"/>
            <w:left w:w="0" w:type="dxa"/>
            <w:bottom w:w="0" w:type="dxa"/>
            <w:right w:w="0" w:type="dxa"/>
          </w:tblCellMar>
        </w:tblPrEx>
        <w:trPr>
          <w:trHeight w:val="454" w:hRule="exact"/>
        </w:trPr>
        <w:tc>
          <w:tcPr>
            <w:tcW w:w="19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9F26FA">
            <w:pPr>
              <w:spacing w:line="240" w:lineRule="exact"/>
              <w:jc w:val="left"/>
              <w:textAlignment w:val="center"/>
              <w:rPr>
                <w:rFonts w:ascii="仿宋" w:hAnsi="仿宋" w:eastAsia="仿宋" w:cs="仿宋"/>
                <w:b/>
                <w:color w:val="auto"/>
                <w:sz w:val="20"/>
                <w:highlight w:val="none"/>
              </w:rPr>
            </w:pPr>
            <w:r>
              <w:rPr>
                <w:rFonts w:hint="eastAsia" w:ascii="仿宋" w:hAnsi="仿宋" w:eastAsia="仿宋" w:cs="仿宋"/>
                <w:b/>
                <w:color w:val="auto"/>
                <w:sz w:val="20"/>
                <w:highlight w:val="none"/>
              </w:rPr>
              <w:t>（四）文物和陈列品（个、件等）</w:t>
            </w:r>
          </w:p>
        </w:tc>
        <w:tc>
          <w:tcPr>
            <w:tcW w:w="6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3A861E">
            <w:pPr>
              <w:spacing w:line="240" w:lineRule="exact"/>
              <w:jc w:val="center"/>
              <w:textAlignment w:val="center"/>
              <w:rPr>
                <w:rFonts w:ascii="仿宋" w:hAnsi="仿宋" w:eastAsia="仿宋" w:cs="仿宋"/>
                <w:color w:val="auto"/>
                <w:sz w:val="20"/>
                <w:highlight w:val="none"/>
              </w:rPr>
            </w:pPr>
          </w:p>
        </w:tc>
        <w:tc>
          <w:tcPr>
            <w:tcW w:w="66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7A9192">
            <w:pPr>
              <w:spacing w:line="240" w:lineRule="exact"/>
              <w:jc w:val="center"/>
              <w:textAlignment w:val="center"/>
              <w:rPr>
                <w:rFonts w:ascii="仿宋" w:hAnsi="仿宋" w:eastAsia="仿宋" w:cs="仿宋"/>
                <w:color w:val="auto"/>
                <w:sz w:val="20"/>
                <w:highlight w:val="none"/>
              </w:rPr>
            </w:pPr>
          </w:p>
        </w:tc>
        <w:tc>
          <w:tcPr>
            <w:tcW w:w="10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408824">
            <w:pPr>
              <w:spacing w:line="240" w:lineRule="exact"/>
              <w:jc w:val="center"/>
              <w:textAlignment w:val="center"/>
              <w:rPr>
                <w:rFonts w:ascii="仿宋" w:hAnsi="仿宋" w:eastAsia="仿宋" w:cs="仿宋"/>
                <w:color w:val="auto"/>
                <w:sz w:val="20"/>
                <w:highlight w:val="none"/>
              </w:rPr>
            </w:pP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F79201">
            <w:pPr>
              <w:spacing w:line="240" w:lineRule="exact"/>
              <w:jc w:val="center"/>
              <w:textAlignment w:val="center"/>
              <w:rPr>
                <w:rFonts w:ascii="仿宋" w:hAnsi="仿宋" w:eastAsia="仿宋" w:cs="仿宋"/>
                <w:color w:val="auto"/>
                <w:sz w:val="20"/>
                <w:highlight w:val="none"/>
              </w:rPr>
            </w:pPr>
          </w:p>
        </w:tc>
      </w:tr>
      <w:tr w14:paraId="281109D1">
        <w:tblPrEx>
          <w:tblCellMar>
            <w:top w:w="0" w:type="dxa"/>
            <w:left w:w="0" w:type="dxa"/>
            <w:bottom w:w="0" w:type="dxa"/>
            <w:right w:w="0" w:type="dxa"/>
          </w:tblCellMar>
        </w:tblPrEx>
        <w:trPr>
          <w:trHeight w:val="454" w:hRule="exact"/>
        </w:trPr>
        <w:tc>
          <w:tcPr>
            <w:tcW w:w="19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D127FC">
            <w:pPr>
              <w:spacing w:line="240" w:lineRule="exact"/>
              <w:jc w:val="left"/>
              <w:textAlignment w:val="center"/>
              <w:rPr>
                <w:rFonts w:ascii="仿宋" w:hAnsi="仿宋" w:eastAsia="仿宋" w:cs="仿宋"/>
                <w:color w:val="auto"/>
                <w:sz w:val="20"/>
                <w:highlight w:val="none"/>
              </w:rPr>
            </w:pPr>
            <w:r>
              <w:rPr>
                <w:rFonts w:ascii="仿宋" w:hAnsi="仿宋" w:eastAsia="仿宋" w:cs="仿宋"/>
                <w:color w:val="auto"/>
                <w:sz w:val="20"/>
                <w:highlight w:val="none"/>
              </w:rPr>
              <w:t xml:space="preserve">    </w:t>
            </w:r>
            <w:r>
              <w:rPr>
                <w:rFonts w:hint="eastAsia" w:ascii="仿宋" w:hAnsi="仿宋" w:eastAsia="仿宋" w:cs="仿宋"/>
                <w:color w:val="auto"/>
                <w:sz w:val="20"/>
                <w:highlight w:val="none"/>
              </w:rPr>
              <w:t>其中：文物</w:t>
            </w:r>
          </w:p>
        </w:tc>
        <w:tc>
          <w:tcPr>
            <w:tcW w:w="6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525A1A">
            <w:pPr>
              <w:spacing w:line="240" w:lineRule="exact"/>
              <w:jc w:val="center"/>
              <w:textAlignment w:val="center"/>
              <w:rPr>
                <w:rFonts w:ascii="仿宋" w:hAnsi="仿宋" w:eastAsia="仿宋" w:cs="仿宋"/>
                <w:color w:val="auto"/>
                <w:sz w:val="20"/>
                <w:highlight w:val="none"/>
              </w:rPr>
            </w:pPr>
          </w:p>
        </w:tc>
        <w:tc>
          <w:tcPr>
            <w:tcW w:w="66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D22294">
            <w:pPr>
              <w:spacing w:line="240" w:lineRule="exact"/>
              <w:jc w:val="center"/>
              <w:textAlignment w:val="center"/>
              <w:rPr>
                <w:rFonts w:ascii="仿宋" w:hAnsi="仿宋" w:eastAsia="仿宋" w:cs="仿宋"/>
                <w:color w:val="auto"/>
                <w:sz w:val="20"/>
                <w:highlight w:val="none"/>
              </w:rPr>
            </w:pPr>
          </w:p>
        </w:tc>
        <w:tc>
          <w:tcPr>
            <w:tcW w:w="10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19DE66">
            <w:pPr>
              <w:spacing w:line="240" w:lineRule="exact"/>
              <w:jc w:val="center"/>
              <w:textAlignment w:val="center"/>
              <w:rPr>
                <w:rFonts w:ascii="仿宋" w:hAnsi="仿宋" w:eastAsia="仿宋" w:cs="仿宋"/>
                <w:color w:val="auto"/>
                <w:sz w:val="20"/>
                <w:highlight w:val="none"/>
              </w:rPr>
            </w:pP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908F39">
            <w:pPr>
              <w:spacing w:line="240" w:lineRule="exact"/>
              <w:jc w:val="center"/>
              <w:textAlignment w:val="center"/>
              <w:rPr>
                <w:rFonts w:ascii="仿宋" w:hAnsi="仿宋" w:eastAsia="仿宋" w:cs="仿宋"/>
                <w:color w:val="auto"/>
                <w:sz w:val="20"/>
                <w:highlight w:val="none"/>
              </w:rPr>
            </w:pPr>
          </w:p>
        </w:tc>
      </w:tr>
      <w:tr w14:paraId="1465C2C8">
        <w:tblPrEx>
          <w:tblCellMar>
            <w:top w:w="0" w:type="dxa"/>
            <w:left w:w="0" w:type="dxa"/>
            <w:bottom w:w="0" w:type="dxa"/>
            <w:right w:w="0" w:type="dxa"/>
          </w:tblCellMar>
        </w:tblPrEx>
        <w:trPr>
          <w:trHeight w:val="454" w:hRule="exact"/>
        </w:trPr>
        <w:tc>
          <w:tcPr>
            <w:tcW w:w="19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BE6623">
            <w:pPr>
              <w:spacing w:line="240" w:lineRule="exact"/>
              <w:jc w:val="left"/>
              <w:textAlignment w:val="center"/>
              <w:rPr>
                <w:rFonts w:ascii="仿宋" w:hAnsi="仿宋" w:eastAsia="仿宋" w:cs="仿宋"/>
                <w:b/>
                <w:color w:val="auto"/>
                <w:sz w:val="20"/>
                <w:highlight w:val="none"/>
              </w:rPr>
            </w:pPr>
            <w:r>
              <w:rPr>
                <w:rFonts w:hint="eastAsia" w:ascii="仿宋" w:hAnsi="仿宋" w:eastAsia="仿宋" w:cs="仿宋"/>
                <w:b/>
                <w:color w:val="auto"/>
                <w:sz w:val="20"/>
                <w:highlight w:val="none"/>
              </w:rPr>
              <w:t>（五）图书档案（本、套等）</w:t>
            </w:r>
          </w:p>
        </w:tc>
        <w:tc>
          <w:tcPr>
            <w:tcW w:w="1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D3710E">
            <w:pPr>
              <w:spacing w:line="240" w:lineRule="exact"/>
              <w:jc w:val="center"/>
              <w:textAlignment w:val="center"/>
              <w:rPr>
                <w:rFonts w:hint="eastAsia" w:ascii="仿宋" w:hAnsi="仿宋" w:eastAsia="仿宋" w:cs="仿宋"/>
                <w:b/>
                <w:color w:val="auto"/>
                <w:sz w:val="20"/>
                <w:highlight w:val="none"/>
                <w:lang w:val="en-US" w:eastAsia="zh-CN"/>
              </w:rPr>
            </w:pPr>
            <w:r>
              <w:rPr>
                <w:rFonts w:hint="eastAsia" w:ascii="仿宋" w:hAnsi="仿宋" w:eastAsia="仿宋" w:cs="仿宋"/>
                <w:b/>
                <w:color w:val="auto"/>
                <w:sz w:val="20"/>
                <w:highlight w:val="none"/>
                <w:lang w:val="en-US" w:eastAsia="zh-CN"/>
              </w:rPr>
              <w:t>2</w:t>
            </w:r>
          </w:p>
        </w:tc>
        <w:tc>
          <w:tcPr>
            <w:tcW w:w="11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9CF3A1">
            <w:pPr>
              <w:spacing w:line="240" w:lineRule="exact"/>
              <w:jc w:val="center"/>
              <w:textAlignment w:val="center"/>
              <w:rPr>
                <w:rFonts w:hint="default" w:ascii="仿宋" w:hAnsi="仿宋" w:eastAsia="仿宋" w:cs="仿宋"/>
                <w:b/>
                <w:color w:val="auto"/>
                <w:sz w:val="20"/>
                <w:highlight w:val="none"/>
                <w:lang w:val="en-US" w:eastAsia="zh-CN"/>
              </w:rPr>
            </w:pPr>
            <w:r>
              <w:rPr>
                <w:rFonts w:hint="eastAsia" w:ascii="仿宋" w:hAnsi="仿宋" w:eastAsia="仿宋" w:cs="仿宋"/>
                <w:b/>
                <w:color w:val="auto"/>
                <w:sz w:val="20"/>
                <w:highlight w:val="none"/>
                <w:lang w:val="en-US" w:eastAsia="zh-CN"/>
              </w:rPr>
              <w:t>1.95</w:t>
            </w:r>
          </w:p>
        </w:tc>
        <w:tc>
          <w:tcPr>
            <w:tcW w:w="1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A503F9">
            <w:pPr>
              <w:spacing w:line="240" w:lineRule="exact"/>
              <w:jc w:val="center"/>
              <w:textAlignment w:val="center"/>
              <w:rPr>
                <w:rFonts w:hint="eastAsia" w:ascii="仿宋" w:hAnsi="仿宋" w:eastAsia="仿宋" w:cs="仿宋"/>
                <w:b/>
                <w:color w:val="auto"/>
                <w:sz w:val="20"/>
                <w:highlight w:val="none"/>
                <w:lang w:val="en-US" w:eastAsia="zh-CN"/>
              </w:rPr>
            </w:pPr>
            <w:r>
              <w:rPr>
                <w:rFonts w:hint="eastAsia" w:ascii="仿宋" w:hAnsi="仿宋" w:eastAsia="仿宋" w:cs="仿宋"/>
                <w:b/>
                <w:color w:val="auto"/>
                <w:sz w:val="20"/>
                <w:highlight w:val="none"/>
                <w:lang w:val="en-US" w:eastAsia="zh-CN"/>
              </w:rPr>
              <w:t>0</w:t>
            </w:r>
          </w:p>
        </w:tc>
        <w:tc>
          <w:tcPr>
            <w:tcW w:w="13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675DB9">
            <w:pPr>
              <w:spacing w:line="240" w:lineRule="exact"/>
              <w:jc w:val="center"/>
              <w:textAlignment w:val="center"/>
              <w:rPr>
                <w:rFonts w:hint="default" w:ascii="仿宋" w:hAnsi="仿宋" w:eastAsia="仿宋" w:cs="仿宋"/>
                <w:b/>
                <w:color w:val="auto"/>
                <w:sz w:val="20"/>
                <w:highlight w:val="none"/>
                <w:lang w:val="en-US" w:eastAsia="zh-CN"/>
              </w:rPr>
            </w:pPr>
            <w:r>
              <w:rPr>
                <w:rFonts w:hint="eastAsia" w:ascii="仿宋" w:hAnsi="仿宋" w:eastAsia="仿宋" w:cs="仿宋"/>
                <w:b/>
                <w:color w:val="auto"/>
                <w:sz w:val="20"/>
                <w:highlight w:val="none"/>
                <w:lang w:val="en-US" w:eastAsia="zh-CN"/>
              </w:rPr>
              <w:t>1.95</w:t>
            </w:r>
          </w:p>
        </w:tc>
      </w:tr>
      <w:tr w14:paraId="5A37A4B9">
        <w:tblPrEx>
          <w:tblCellMar>
            <w:top w:w="0" w:type="dxa"/>
            <w:left w:w="0" w:type="dxa"/>
            <w:bottom w:w="0" w:type="dxa"/>
            <w:right w:w="0" w:type="dxa"/>
          </w:tblCellMar>
        </w:tblPrEx>
        <w:trPr>
          <w:trHeight w:val="680" w:hRule="exact"/>
        </w:trPr>
        <w:tc>
          <w:tcPr>
            <w:tcW w:w="19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D12BF4">
            <w:pPr>
              <w:spacing w:line="240" w:lineRule="exact"/>
              <w:jc w:val="left"/>
              <w:textAlignment w:val="center"/>
              <w:rPr>
                <w:rFonts w:ascii="仿宋" w:hAnsi="仿宋" w:eastAsia="仿宋" w:cs="仿宋"/>
                <w:b/>
                <w:color w:val="auto"/>
                <w:sz w:val="20"/>
                <w:highlight w:val="none"/>
              </w:rPr>
            </w:pPr>
            <w:r>
              <w:rPr>
                <w:rFonts w:hint="eastAsia" w:ascii="仿宋" w:hAnsi="仿宋" w:eastAsia="仿宋" w:cs="仿宋"/>
                <w:b/>
                <w:color w:val="auto"/>
                <w:sz w:val="20"/>
                <w:highlight w:val="none"/>
              </w:rPr>
              <w:t>（六）家具、用具、装具及动植物（个、套等）</w:t>
            </w:r>
          </w:p>
        </w:tc>
        <w:tc>
          <w:tcPr>
            <w:tcW w:w="1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66DE91">
            <w:pPr>
              <w:spacing w:line="240" w:lineRule="exact"/>
              <w:jc w:val="center"/>
              <w:textAlignment w:val="center"/>
              <w:rPr>
                <w:rFonts w:hint="default" w:ascii="仿宋" w:hAnsi="仿宋" w:eastAsia="仿宋" w:cs="仿宋"/>
                <w:b/>
                <w:color w:val="auto"/>
                <w:sz w:val="20"/>
                <w:highlight w:val="none"/>
                <w:lang w:val="en-US" w:eastAsia="zh-CN"/>
              </w:rPr>
            </w:pPr>
            <w:r>
              <w:rPr>
                <w:rFonts w:hint="eastAsia" w:ascii="仿宋" w:hAnsi="仿宋" w:eastAsia="仿宋" w:cs="仿宋"/>
                <w:b/>
                <w:color w:val="auto"/>
                <w:sz w:val="20"/>
                <w:highlight w:val="none"/>
                <w:lang w:val="en-US" w:eastAsia="zh-CN"/>
              </w:rPr>
              <w:t>809</w:t>
            </w:r>
          </w:p>
        </w:tc>
        <w:tc>
          <w:tcPr>
            <w:tcW w:w="11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600A75">
            <w:pPr>
              <w:spacing w:line="240" w:lineRule="exact"/>
              <w:jc w:val="center"/>
              <w:textAlignment w:val="center"/>
              <w:rPr>
                <w:rFonts w:hint="default" w:ascii="仿宋" w:hAnsi="仿宋" w:eastAsia="仿宋" w:cs="仿宋"/>
                <w:b/>
                <w:color w:val="auto"/>
                <w:sz w:val="20"/>
                <w:highlight w:val="none"/>
                <w:lang w:val="en-US" w:eastAsia="zh-CN"/>
              </w:rPr>
            </w:pPr>
            <w:r>
              <w:rPr>
                <w:rFonts w:hint="eastAsia" w:ascii="仿宋" w:hAnsi="仿宋" w:eastAsia="仿宋" w:cs="仿宋"/>
                <w:b/>
                <w:color w:val="auto"/>
                <w:sz w:val="20"/>
                <w:highlight w:val="none"/>
                <w:lang w:val="en-US" w:eastAsia="zh-CN"/>
              </w:rPr>
              <w:t>69.08</w:t>
            </w:r>
          </w:p>
        </w:tc>
        <w:tc>
          <w:tcPr>
            <w:tcW w:w="1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31778D">
            <w:pPr>
              <w:spacing w:line="240" w:lineRule="exact"/>
              <w:jc w:val="center"/>
              <w:textAlignment w:val="center"/>
              <w:rPr>
                <w:rFonts w:hint="default" w:ascii="仿宋" w:hAnsi="仿宋" w:eastAsia="仿宋" w:cs="仿宋"/>
                <w:b/>
                <w:color w:val="auto"/>
                <w:sz w:val="20"/>
                <w:highlight w:val="none"/>
                <w:lang w:val="en-US" w:eastAsia="zh-CN"/>
              </w:rPr>
            </w:pPr>
            <w:r>
              <w:rPr>
                <w:rFonts w:hint="eastAsia" w:ascii="仿宋" w:hAnsi="仿宋" w:eastAsia="仿宋" w:cs="仿宋"/>
                <w:b/>
                <w:color w:val="auto"/>
                <w:sz w:val="20"/>
                <w:highlight w:val="none"/>
                <w:lang w:val="en-US" w:eastAsia="zh-CN"/>
              </w:rPr>
              <w:t>41.00</w:t>
            </w:r>
          </w:p>
        </w:tc>
        <w:tc>
          <w:tcPr>
            <w:tcW w:w="13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64C660">
            <w:pPr>
              <w:spacing w:line="240" w:lineRule="exact"/>
              <w:jc w:val="center"/>
              <w:textAlignment w:val="center"/>
              <w:rPr>
                <w:rFonts w:hint="default" w:ascii="仿宋" w:hAnsi="仿宋" w:eastAsia="仿宋" w:cs="仿宋"/>
                <w:b/>
                <w:color w:val="auto"/>
                <w:sz w:val="20"/>
                <w:highlight w:val="none"/>
                <w:lang w:val="en-US" w:eastAsia="zh-CN"/>
              </w:rPr>
            </w:pPr>
            <w:r>
              <w:rPr>
                <w:rFonts w:hint="eastAsia" w:ascii="仿宋" w:hAnsi="仿宋" w:eastAsia="仿宋" w:cs="仿宋"/>
                <w:b/>
                <w:color w:val="auto"/>
                <w:sz w:val="20"/>
                <w:highlight w:val="none"/>
                <w:lang w:val="en-US" w:eastAsia="zh-CN"/>
              </w:rPr>
              <w:t>28.08</w:t>
            </w:r>
          </w:p>
        </w:tc>
      </w:tr>
      <w:tr w14:paraId="6E716FDB">
        <w:tblPrEx>
          <w:tblCellMar>
            <w:top w:w="0" w:type="dxa"/>
            <w:left w:w="0" w:type="dxa"/>
            <w:bottom w:w="0" w:type="dxa"/>
            <w:right w:w="0" w:type="dxa"/>
          </w:tblCellMar>
        </w:tblPrEx>
        <w:trPr>
          <w:trHeight w:val="454" w:hRule="exact"/>
        </w:trPr>
        <w:tc>
          <w:tcPr>
            <w:tcW w:w="19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F923C0">
            <w:pPr>
              <w:spacing w:line="240" w:lineRule="exact"/>
              <w:jc w:val="left"/>
              <w:textAlignment w:val="center"/>
              <w:rPr>
                <w:rFonts w:ascii="仿宋" w:hAnsi="仿宋" w:eastAsia="仿宋" w:cs="仿宋"/>
                <w:color w:val="auto"/>
                <w:sz w:val="20"/>
                <w:highlight w:val="none"/>
              </w:rPr>
            </w:pPr>
            <w:r>
              <w:rPr>
                <w:rFonts w:ascii="仿宋" w:hAnsi="仿宋" w:eastAsia="仿宋" w:cs="仿宋"/>
                <w:color w:val="auto"/>
                <w:sz w:val="20"/>
                <w:highlight w:val="none"/>
              </w:rPr>
              <w:t xml:space="preserve">    </w:t>
            </w:r>
            <w:r>
              <w:rPr>
                <w:rFonts w:hint="eastAsia" w:ascii="仿宋" w:hAnsi="仿宋" w:eastAsia="仿宋" w:cs="仿宋"/>
                <w:color w:val="auto"/>
                <w:sz w:val="20"/>
                <w:highlight w:val="none"/>
              </w:rPr>
              <w:t>其中：家具用具</w:t>
            </w:r>
          </w:p>
        </w:tc>
        <w:tc>
          <w:tcPr>
            <w:tcW w:w="1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03C929">
            <w:pPr>
              <w:spacing w:line="240" w:lineRule="exact"/>
              <w:jc w:val="center"/>
              <w:textAlignment w:val="center"/>
              <w:rPr>
                <w:rFonts w:hint="default" w:ascii="仿宋" w:hAnsi="仿宋" w:eastAsia="仿宋" w:cs="仿宋"/>
                <w:color w:val="auto"/>
                <w:sz w:val="20"/>
                <w:highlight w:val="none"/>
                <w:lang w:val="en-US" w:eastAsia="zh-CN"/>
              </w:rPr>
            </w:pPr>
            <w:r>
              <w:rPr>
                <w:rFonts w:hint="eastAsia" w:ascii="仿宋" w:hAnsi="仿宋" w:eastAsia="仿宋" w:cs="仿宋"/>
                <w:color w:val="auto"/>
                <w:sz w:val="20"/>
                <w:highlight w:val="none"/>
                <w:lang w:val="en-US" w:eastAsia="zh-CN"/>
              </w:rPr>
              <w:t>809</w:t>
            </w:r>
          </w:p>
        </w:tc>
        <w:tc>
          <w:tcPr>
            <w:tcW w:w="11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51E276">
            <w:pPr>
              <w:spacing w:line="240" w:lineRule="exact"/>
              <w:jc w:val="center"/>
              <w:textAlignment w:val="center"/>
              <w:rPr>
                <w:rFonts w:hint="default" w:ascii="仿宋" w:hAnsi="仿宋" w:eastAsia="仿宋" w:cs="仿宋"/>
                <w:color w:val="auto"/>
                <w:sz w:val="20"/>
                <w:highlight w:val="none"/>
                <w:lang w:val="en-US"/>
              </w:rPr>
            </w:pPr>
            <w:r>
              <w:rPr>
                <w:rFonts w:hint="eastAsia" w:ascii="仿宋" w:hAnsi="仿宋" w:eastAsia="仿宋" w:cs="仿宋"/>
                <w:color w:val="auto"/>
                <w:sz w:val="20"/>
                <w:highlight w:val="none"/>
                <w:lang w:val="en-US" w:eastAsia="zh-CN"/>
              </w:rPr>
              <w:t>69.08</w:t>
            </w:r>
          </w:p>
        </w:tc>
        <w:tc>
          <w:tcPr>
            <w:tcW w:w="1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ACAF4B">
            <w:pPr>
              <w:spacing w:line="240" w:lineRule="exact"/>
              <w:jc w:val="center"/>
              <w:textAlignment w:val="center"/>
              <w:rPr>
                <w:rFonts w:hint="default" w:ascii="仿宋" w:hAnsi="仿宋" w:eastAsia="仿宋" w:cs="仿宋"/>
                <w:color w:val="auto"/>
                <w:sz w:val="20"/>
                <w:highlight w:val="none"/>
                <w:lang w:val="en-US" w:eastAsia="zh-CN"/>
              </w:rPr>
            </w:pPr>
            <w:r>
              <w:rPr>
                <w:rFonts w:hint="eastAsia" w:ascii="仿宋" w:hAnsi="仿宋" w:eastAsia="仿宋" w:cs="仿宋"/>
                <w:color w:val="auto"/>
                <w:sz w:val="20"/>
                <w:highlight w:val="none"/>
                <w:lang w:val="en-US" w:eastAsia="zh-CN"/>
              </w:rPr>
              <w:t>41.00</w:t>
            </w:r>
          </w:p>
        </w:tc>
        <w:tc>
          <w:tcPr>
            <w:tcW w:w="13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E5B08B">
            <w:pPr>
              <w:spacing w:line="240" w:lineRule="exact"/>
              <w:jc w:val="center"/>
              <w:textAlignment w:val="center"/>
              <w:rPr>
                <w:rFonts w:hint="default" w:ascii="仿宋" w:hAnsi="仿宋" w:eastAsia="仿宋" w:cs="仿宋"/>
                <w:color w:val="auto"/>
                <w:sz w:val="20"/>
                <w:highlight w:val="none"/>
                <w:lang w:val="en-US"/>
              </w:rPr>
            </w:pPr>
            <w:r>
              <w:rPr>
                <w:rFonts w:hint="eastAsia" w:ascii="仿宋" w:hAnsi="仿宋" w:eastAsia="仿宋" w:cs="仿宋"/>
                <w:color w:val="auto"/>
                <w:sz w:val="20"/>
                <w:highlight w:val="none"/>
                <w:lang w:val="en-US" w:eastAsia="zh-CN"/>
              </w:rPr>
              <w:t>28.08</w:t>
            </w:r>
          </w:p>
        </w:tc>
      </w:tr>
    </w:tbl>
    <w:p w14:paraId="63C6AF43">
      <w:pPr>
        <w:widowControl w:val="0"/>
        <w:overflowPunct/>
        <w:autoSpaceDE/>
        <w:autoSpaceDN/>
        <w:adjustRightInd/>
        <w:spacing w:line="560" w:lineRule="exact"/>
        <w:ind w:firstLine="632" w:firstLineChars="200"/>
        <w:textAlignment w:val="auto"/>
        <w:outlineLvl w:val="1"/>
        <w:rPr>
          <w:rFonts w:ascii="Times New Roman" w:hAnsi="Times New Roman" w:eastAsia="方正仿宋_GBK" w:cs="Times New Roman"/>
          <w:b/>
          <w:bCs/>
          <w:color w:val="auto"/>
          <w:sz w:val="32"/>
          <w:szCs w:val="32"/>
          <w:highlight w:val="none"/>
        </w:rPr>
      </w:pPr>
      <w:bookmarkStart w:id="10" w:name="_Toc30737"/>
      <w:r>
        <w:rPr>
          <w:rFonts w:hint="eastAsia" w:ascii="Times New Roman" w:hAnsi="Times New Roman" w:eastAsia="方正仿宋_GBK" w:cs="Times New Roman"/>
          <w:b/>
          <w:bCs/>
          <w:color w:val="auto"/>
          <w:sz w:val="32"/>
          <w:szCs w:val="32"/>
          <w:highlight w:val="none"/>
        </w:rPr>
        <w:t>（七）部门组织及管理</w:t>
      </w:r>
      <w:bookmarkEnd w:id="10"/>
    </w:p>
    <w:p w14:paraId="0CD1DE55">
      <w:pPr>
        <w:widowControl w:val="0"/>
        <w:spacing w:line="560" w:lineRule="exact"/>
        <w:ind w:firstLine="632" w:firstLineChars="200"/>
        <w:outlineLvl w:val="2"/>
        <w:rPr>
          <w:rFonts w:ascii="Times New Roman" w:hAnsi="Times New Roman" w:eastAsia="方正仿宋_GBK" w:cs="Times New Roman"/>
          <w:b w:val="0"/>
          <w:bCs w:val="0"/>
          <w:color w:val="auto"/>
          <w:sz w:val="32"/>
          <w:szCs w:val="32"/>
          <w:highlight w:val="none"/>
        </w:rPr>
      </w:pPr>
      <w:r>
        <w:rPr>
          <w:rFonts w:ascii="Times New Roman" w:hAnsi="Times New Roman" w:eastAsia="方正仿宋_GBK" w:cs="Times New Roman"/>
          <w:b w:val="0"/>
          <w:bCs w:val="0"/>
          <w:color w:val="auto"/>
          <w:sz w:val="32"/>
          <w:szCs w:val="32"/>
          <w:highlight w:val="none"/>
        </w:rPr>
        <w:t>1.</w:t>
      </w:r>
      <w:r>
        <w:rPr>
          <w:rFonts w:hint="eastAsia" w:ascii="Times New Roman" w:hAnsi="Times New Roman" w:eastAsia="方正仿宋_GBK" w:cs="Times New Roman"/>
          <w:b w:val="0"/>
          <w:bCs w:val="0"/>
          <w:color w:val="auto"/>
          <w:sz w:val="32"/>
          <w:szCs w:val="32"/>
          <w:highlight w:val="none"/>
        </w:rPr>
        <w:t>财务管理</w:t>
      </w:r>
    </w:p>
    <w:p w14:paraId="050942EE">
      <w:pPr>
        <w:widowControl w:val="0"/>
        <w:spacing w:line="560" w:lineRule="exact"/>
        <w:ind w:firstLine="632" w:firstLineChars="200"/>
        <w:rPr>
          <w:rFonts w:ascii="Times New Roman" w:hAnsi="Times New Roman" w:eastAsia="方正仿宋_GBK" w:cs="Times New Roman"/>
          <w:b w:val="0"/>
          <w:bCs w:val="0"/>
          <w:color w:val="auto"/>
          <w:sz w:val="32"/>
          <w:szCs w:val="32"/>
          <w:highlight w:val="none"/>
        </w:rPr>
      </w:pPr>
      <w:r>
        <w:rPr>
          <w:rFonts w:hint="eastAsia" w:ascii="Times New Roman" w:hAnsi="Times New Roman" w:eastAsia="方正仿宋_GBK" w:cs="Times New Roman"/>
          <w:b w:val="0"/>
          <w:bCs w:val="0"/>
          <w:color w:val="auto"/>
          <w:sz w:val="32"/>
          <w:szCs w:val="32"/>
          <w:highlight w:val="none"/>
        </w:rPr>
        <w:t>制定了《南京市绿化园林局预算管理办法》《南京市绿化园林局财务报销管理办法》《南京市绿化园林局公务用车使用管理办法》《南京市绿化园林局接待工作规定》等规章制度，相关制度执行情况较好，规范了财务行为。</w:t>
      </w:r>
    </w:p>
    <w:p w14:paraId="6EB5B6F3">
      <w:pPr>
        <w:widowControl w:val="0"/>
        <w:spacing w:line="560" w:lineRule="exact"/>
        <w:ind w:firstLine="632" w:firstLineChars="200"/>
        <w:rPr>
          <w:rFonts w:ascii="Times New Roman" w:hAnsi="Times New Roman" w:eastAsia="方正仿宋_GBK" w:cs="Times New Roman"/>
          <w:b w:val="0"/>
          <w:bCs w:val="0"/>
          <w:color w:val="auto"/>
          <w:sz w:val="32"/>
          <w:szCs w:val="32"/>
          <w:highlight w:val="none"/>
        </w:rPr>
      </w:pPr>
      <w:r>
        <w:rPr>
          <w:rFonts w:ascii="Times New Roman" w:hAnsi="Times New Roman" w:eastAsia="方正仿宋_GBK" w:cs="Times New Roman"/>
          <w:b w:val="0"/>
          <w:bCs w:val="0"/>
          <w:color w:val="auto"/>
          <w:sz w:val="32"/>
          <w:szCs w:val="32"/>
          <w:highlight w:val="none"/>
        </w:rPr>
        <w:t>2.</w:t>
      </w:r>
      <w:r>
        <w:rPr>
          <w:rFonts w:hint="eastAsia" w:ascii="Times New Roman" w:hAnsi="Times New Roman" w:eastAsia="方正仿宋_GBK" w:cs="Times New Roman"/>
          <w:b w:val="0"/>
          <w:bCs w:val="0"/>
          <w:color w:val="auto"/>
          <w:sz w:val="32"/>
          <w:szCs w:val="32"/>
          <w:highlight w:val="none"/>
        </w:rPr>
        <w:t>采购管理</w:t>
      </w:r>
    </w:p>
    <w:p w14:paraId="57E22C82">
      <w:pPr>
        <w:widowControl w:val="0"/>
        <w:spacing w:line="560" w:lineRule="exact"/>
        <w:ind w:firstLine="632" w:firstLineChars="200"/>
        <w:rPr>
          <w:rFonts w:ascii="Times New Roman" w:hAnsi="Times New Roman" w:eastAsia="方正仿宋_GBK" w:cs="Times New Roman"/>
          <w:b w:val="0"/>
          <w:bCs w:val="0"/>
          <w:color w:val="auto"/>
          <w:sz w:val="32"/>
          <w:szCs w:val="32"/>
          <w:highlight w:val="none"/>
        </w:rPr>
      </w:pPr>
      <w:r>
        <w:rPr>
          <w:rFonts w:hint="eastAsia" w:ascii="Times New Roman" w:hAnsi="Times New Roman" w:eastAsia="方正仿宋_GBK" w:cs="Times New Roman"/>
          <w:b w:val="0"/>
          <w:bCs w:val="0"/>
          <w:color w:val="auto"/>
          <w:sz w:val="32"/>
          <w:szCs w:val="32"/>
          <w:highlight w:val="none"/>
        </w:rPr>
        <w:t>采购管理具体形式为按照财政部门发布的采购目录、政府采购有关规定进行</w:t>
      </w:r>
      <w:r>
        <w:rPr>
          <w:rFonts w:hint="eastAsia" w:eastAsia="方正仿宋_GBK" w:cs="Times New Roman"/>
          <w:b w:val="0"/>
          <w:bCs w:val="0"/>
          <w:color w:val="auto"/>
          <w:sz w:val="32"/>
          <w:szCs w:val="32"/>
          <w:highlight w:val="none"/>
          <w:lang w:eastAsia="zh-CN"/>
        </w:rPr>
        <w:t>公开</w:t>
      </w:r>
      <w:r>
        <w:rPr>
          <w:rFonts w:hint="eastAsia" w:ascii="Times New Roman" w:hAnsi="Times New Roman" w:eastAsia="方正仿宋_GBK" w:cs="Times New Roman"/>
          <w:b w:val="0"/>
          <w:bCs w:val="0"/>
          <w:color w:val="auto"/>
          <w:sz w:val="32"/>
          <w:szCs w:val="32"/>
          <w:highlight w:val="none"/>
        </w:rPr>
        <w:t>招标、竞争性谈判、询价、直接委托等，并制定了有关采购方面的管理制度，如《南京市绿化园林局政府采购工作管理办法》等，制度执行情况较好。</w:t>
      </w:r>
    </w:p>
    <w:p w14:paraId="65D4D099">
      <w:pPr>
        <w:widowControl w:val="0"/>
        <w:spacing w:line="560" w:lineRule="exact"/>
        <w:ind w:firstLine="632" w:firstLineChars="200"/>
        <w:rPr>
          <w:rFonts w:ascii="Times New Roman" w:hAnsi="Times New Roman" w:eastAsia="方正仿宋_GBK" w:cs="Times New Roman"/>
          <w:b w:val="0"/>
          <w:bCs w:val="0"/>
          <w:color w:val="auto"/>
          <w:sz w:val="32"/>
          <w:szCs w:val="32"/>
          <w:highlight w:val="none"/>
        </w:rPr>
      </w:pPr>
      <w:r>
        <w:rPr>
          <w:rFonts w:ascii="Times New Roman" w:hAnsi="Times New Roman" w:eastAsia="方正仿宋_GBK" w:cs="Times New Roman"/>
          <w:b w:val="0"/>
          <w:bCs w:val="0"/>
          <w:color w:val="auto"/>
          <w:sz w:val="32"/>
          <w:szCs w:val="32"/>
          <w:highlight w:val="none"/>
        </w:rPr>
        <w:t>3.</w:t>
      </w:r>
      <w:r>
        <w:rPr>
          <w:rFonts w:hint="eastAsia" w:ascii="Times New Roman" w:hAnsi="Times New Roman" w:eastAsia="方正仿宋_GBK" w:cs="Times New Roman"/>
          <w:b w:val="0"/>
          <w:bCs w:val="0"/>
          <w:color w:val="auto"/>
          <w:sz w:val="32"/>
          <w:szCs w:val="32"/>
          <w:highlight w:val="none"/>
        </w:rPr>
        <w:t>资产管理</w:t>
      </w:r>
    </w:p>
    <w:p w14:paraId="303A9C75">
      <w:pPr>
        <w:widowControl w:val="0"/>
        <w:spacing w:line="560" w:lineRule="exact"/>
        <w:ind w:firstLine="632" w:firstLineChars="200"/>
        <w:rPr>
          <w:rFonts w:ascii="Times New Roman" w:hAnsi="Times New Roman" w:eastAsia="方正仿宋_GBK" w:cs="Times New Roman"/>
          <w:b w:val="0"/>
          <w:bCs w:val="0"/>
          <w:color w:val="auto"/>
          <w:sz w:val="32"/>
          <w:szCs w:val="32"/>
          <w:highlight w:val="none"/>
        </w:rPr>
      </w:pPr>
      <w:r>
        <w:rPr>
          <w:rFonts w:hint="eastAsia" w:ascii="Times New Roman" w:hAnsi="Times New Roman" w:eastAsia="方正仿宋_GBK" w:cs="Times New Roman"/>
          <w:b w:val="0"/>
          <w:bCs w:val="0"/>
          <w:color w:val="auto"/>
          <w:sz w:val="32"/>
          <w:szCs w:val="32"/>
          <w:highlight w:val="none"/>
        </w:rPr>
        <w:t>制定了有关资产管理方面的管理制度，如《南京市绿化园林局机关固定资产管理办法》，制度执行情况较好。</w:t>
      </w:r>
    </w:p>
    <w:p w14:paraId="2900B7D2">
      <w:pPr>
        <w:widowControl w:val="0"/>
        <w:spacing w:line="560" w:lineRule="exact"/>
        <w:ind w:firstLine="632" w:firstLineChars="200"/>
        <w:rPr>
          <w:rFonts w:ascii="Times New Roman" w:hAnsi="Times New Roman" w:eastAsia="方正仿宋_GBK" w:cs="Times New Roman"/>
          <w:b w:val="0"/>
          <w:bCs w:val="0"/>
          <w:color w:val="auto"/>
          <w:sz w:val="32"/>
          <w:szCs w:val="32"/>
          <w:highlight w:val="none"/>
        </w:rPr>
      </w:pPr>
      <w:r>
        <w:rPr>
          <w:rFonts w:ascii="Times New Roman" w:hAnsi="Times New Roman" w:eastAsia="方正仿宋_GBK" w:cs="Times New Roman"/>
          <w:b w:val="0"/>
          <w:bCs w:val="0"/>
          <w:color w:val="auto"/>
          <w:sz w:val="32"/>
          <w:szCs w:val="32"/>
          <w:highlight w:val="none"/>
        </w:rPr>
        <w:t>4.</w:t>
      </w:r>
      <w:r>
        <w:rPr>
          <w:rFonts w:hint="eastAsia" w:ascii="Times New Roman" w:hAnsi="Times New Roman" w:eastAsia="方正仿宋_GBK" w:cs="Times New Roman"/>
          <w:b w:val="0"/>
          <w:bCs w:val="0"/>
          <w:color w:val="auto"/>
          <w:sz w:val="32"/>
          <w:szCs w:val="32"/>
          <w:highlight w:val="none"/>
        </w:rPr>
        <w:t>内部控制制度建设</w:t>
      </w:r>
    </w:p>
    <w:p w14:paraId="503A95F8">
      <w:pPr>
        <w:widowControl w:val="0"/>
        <w:tabs>
          <w:tab w:val="left" w:pos="624"/>
          <w:tab w:val="left" w:pos="669"/>
        </w:tabs>
        <w:overflowPunct/>
        <w:autoSpaceDE/>
        <w:autoSpaceDN/>
        <w:adjustRightInd/>
        <w:spacing w:line="560" w:lineRule="exact"/>
        <w:ind w:firstLine="632" w:firstLineChars="200"/>
        <w:textAlignment w:val="auto"/>
        <w:outlineLvl w:val="0"/>
        <w:rPr>
          <w:rFonts w:hint="eastAsia" w:ascii="Times New Roman" w:hAnsi="Times New Roman" w:eastAsia="方正仿宋_GBK" w:cs="Times New Roman"/>
          <w:b w:val="0"/>
          <w:bCs w:val="0"/>
          <w:color w:val="auto"/>
          <w:sz w:val="32"/>
          <w:szCs w:val="32"/>
          <w:highlight w:val="none"/>
          <w:lang w:eastAsia="zh-CN"/>
        </w:rPr>
      </w:pPr>
      <w:bookmarkStart w:id="11" w:name="_Toc28739_WPSOffice_Level1"/>
      <w:bookmarkStart w:id="12" w:name="_Toc27830_WPSOffice_Level1"/>
      <w:bookmarkStart w:id="13" w:name="_Toc29869"/>
      <w:r>
        <w:rPr>
          <w:rFonts w:hint="eastAsia" w:ascii="Times New Roman" w:hAnsi="Times New Roman" w:eastAsia="方正仿宋_GBK" w:cs="Times New Roman"/>
          <w:b w:val="0"/>
          <w:bCs w:val="0"/>
          <w:color w:val="auto"/>
          <w:sz w:val="32"/>
          <w:szCs w:val="32"/>
          <w:highlight w:val="none"/>
        </w:rPr>
        <w:t>在</w:t>
      </w:r>
      <w:r>
        <w:rPr>
          <w:rFonts w:ascii="Times New Roman" w:hAnsi="Times New Roman" w:eastAsia="方正仿宋_GBK" w:cs="Times New Roman"/>
          <w:b w:val="0"/>
          <w:bCs w:val="0"/>
          <w:color w:val="auto"/>
          <w:sz w:val="32"/>
          <w:szCs w:val="32"/>
          <w:highlight w:val="none"/>
        </w:rPr>
        <w:t>2019</w:t>
      </w:r>
      <w:r>
        <w:rPr>
          <w:rFonts w:hint="eastAsia" w:ascii="Times New Roman" w:hAnsi="Times New Roman" w:eastAsia="方正仿宋_GBK" w:cs="Times New Roman"/>
          <w:b w:val="0"/>
          <w:bCs w:val="0"/>
          <w:color w:val="auto"/>
          <w:sz w:val="32"/>
          <w:szCs w:val="32"/>
          <w:highlight w:val="none"/>
        </w:rPr>
        <w:t>年被南京市财政局评为“市级行政单位内部控制建设优秀单位”的基础上，进一步修订完善了</w:t>
      </w:r>
      <w:r>
        <w:rPr>
          <w:rFonts w:hint="eastAsia" w:ascii="Times New Roman" w:hAnsi="Times New Roman" w:eastAsia="方正仿宋_GBK" w:cs="Times New Roman"/>
          <w:b w:val="0"/>
          <w:bCs w:val="0"/>
          <w:color w:val="000000"/>
          <w:sz w:val="32"/>
          <w:szCs w:val="32"/>
        </w:rPr>
        <w:t>《中共南京市绿化园林局党组关于加强“三重一大</w:t>
      </w:r>
      <w:r>
        <w:rPr>
          <w:rFonts w:hint="eastAsia" w:ascii="Times New Roman" w:hAnsi="Times New Roman" w:eastAsia="方正仿宋_GBK" w:cs="Times New Roman"/>
          <w:b w:val="0"/>
          <w:bCs w:val="0"/>
          <w:color w:val="auto"/>
          <w:sz w:val="32"/>
          <w:szCs w:val="32"/>
          <w:highlight w:val="none"/>
        </w:rPr>
        <w:t>”事项决策和监管的实施意见》（宁园党组〔2024〕32号）</w:t>
      </w:r>
      <w:r>
        <w:rPr>
          <w:rFonts w:hint="eastAsia" w:ascii="Times New Roman" w:hAnsi="Times New Roman" w:eastAsia="方正仿宋_GBK" w:cs="Times New Roman"/>
          <w:b w:val="0"/>
          <w:bCs w:val="0"/>
          <w:color w:val="auto"/>
          <w:sz w:val="32"/>
          <w:szCs w:val="32"/>
          <w:highlight w:val="none"/>
          <w:lang w:eastAsia="zh-CN"/>
        </w:rPr>
        <w:t>、</w:t>
      </w:r>
      <w:r>
        <w:rPr>
          <w:rFonts w:hint="eastAsia" w:ascii="Times New Roman" w:hAnsi="Times New Roman" w:eastAsia="方正仿宋_GBK" w:cs="Times New Roman"/>
          <w:b w:val="0"/>
          <w:bCs w:val="0"/>
          <w:color w:val="auto"/>
          <w:sz w:val="32"/>
          <w:szCs w:val="32"/>
          <w:highlight w:val="none"/>
        </w:rPr>
        <w:t>《南京市绿化园林局政府购买服务“双清单”管理实施办法》（宁园办〔2024〕22号）</w:t>
      </w:r>
      <w:r>
        <w:rPr>
          <w:rFonts w:hint="eastAsia" w:ascii="Times New Roman" w:hAnsi="Times New Roman" w:eastAsia="方正仿宋_GBK" w:cs="Times New Roman"/>
          <w:b w:val="0"/>
          <w:bCs w:val="0"/>
          <w:color w:val="auto"/>
          <w:sz w:val="32"/>
          <w:szCs w:val="32"/>
          <w:highlight w:val="none"/>
          <w:lang w:eastAsia="zh-CN"/>
        </w:rPr>
        <w:t>、</w:t>
      </w:r>
      <w:r>
        <w:rPr>
          <w:rFonts w:hint="eastAsia" w:ascii="Times New Roman" w:hAnsi="Times New Roman" w:eastAsia="方正仿宋_GBK" w:cs="Times New Roman"/>
          <w:b w:val="0"/>
          <w:bCs w:val="0"/>
          <w:color w:val="auto"/>
          <w:sz w:val="32"/>
          <w:szCs w:val="32"/>
          <w:highlight w:val="none"/>
        </w:rPr>
        <w:t>《南京市绿化园林局政府采购工作管理办法（试行）》（宁园办〔2024〕25号 ）</w:t>
      </w:r>
      <w:r>
        <w:rPr>
          <w:rFonts w:hint="eastAsia" w:ascii="Times New Roman" w:hAnsi="Times New Roman" w:eastAsia="方正仿宋_GBK" w:cs="Times New Roman"/>
          <w:b w:val="0"/>
          <w:bCs w:val="0"/>
          <w:color w:val="auto"/>
          <w:sz w:val="32"/>
          <w:szCs w:val="32"/>
          <w:highlight w:val="none"/>
          <w:lang w:eastAsia="zh-CN"/>
        </w:rPr>
        <w:t>、</w:t>
      </w:r>
      <w:r>
        <w:rPr>
          <w:rFonts w:hint="eastAsia" w:ascii="Times New Roman" w:hAnsi="Times New Roman" w:eastAsia="方正仿宋_GBK" w:cs="Times New Roman"/>
          <w:b w:val="0"/>
          <w:bCs w:val="0"/>
          <w:color w:val="auto"/>
          <w:sz w:val="32"/>
          <w:szCs w:val="32"/>
          <w:highlight w:val="none"/>
        </w:rPr>
        <w:t>《南京市绿化园林局机关固定资产管理办法》（宁园办〔2024〕8号），执行情况较好。</w:t>
      </w:r>
    </w:p>
    <w:p w14:paraId="42F2423C">
      <w:pPr>
        <w:widowControl w:val="0"/>
        <w:overflowPunct/>
        <w:autoSpaceDE/>
        <w:autoSpaceDN/>
        <w:adjustRightInd/>
        <w:spacing w:line="560" w:lineRule="exact"/>
        <w:ind w:firstLine="632" w:firstLineChars="200"/>
        <w:textAlignment w:val="auto"/>
        <w:outlineLvl w:val="1"/>
        <w:rPr>
          <w:rFonts w:hint="eastAsia" w:ascii="Times New Roman" w:hAnsi="Times New Roman" w:eastAsia="方正仿宋_GBK" w:cs="Times New Roman"/>
          <w:b/>
          <w:bCs/>
          <w:color w:val="auto"/>
          <w:sz w:val="32"/>
          <w:szCs w:val="32"/>
          <w:highlight w:val="none"/>
        </w:rPr>
      </w:pPr>
      <w:r>
        <w:rPr>
          <w:rFonts w:hint="eastAsia" w:ascii="Times New Roman" w:hAnsi="Times New Roman" w:eastAsia="方正仿宋_GBK" w:cs="Times New Roman"/>
          <w:b/>
          <w:bCs/>
          <w:color w:val="auto"/>
          <w:sz w:val="32"/>
          <w:szCs w:val="32"/>
          <w:highlight w:val="none"/>
        </w:rPr>
        <w:t>（八）</w:t>
      </w:r>
      <w:bookmarkEnd w:id="11"/>
      <w:bookmarkEnd w:id="12"/>
      <w:r>
        <w:rPr>
          <w:rFonts w:hint="eastAsia" w:ascii="Times New Roman" w:hAnsi="Times New Roman" w:eastAsia="方正仿宋_GBK" w:cs="Times New Roman"/>
          <w:b/>
          <w:bCs/>
          <w:color w:val="auto"/>
          <w:sz w:val="32"/>
          <w:szCs w:val="32"/>
          <w:highlight w:val="none"/>
        </w:rPr>
        <w:t>部门绩效目标</w:t>
      </w:r>
      <w:bookmarkEnd w:id="13"/>
    </w:p>
    <w:p w14:paraId="673F833C">
      <w:pPr>
        <w:widowControl w:val="0"/>
        <w:spacing w:line="560" w:lineRule="exact"/>
        <w:ind w:firstLine="632" w:firstLineChars="200"/>
        <w:outlineLvl w:val="1"/>
        <w:rPr>
          <w:rFonts w:ascii="Times New Roman" w:hAnsi="Times New Roman" w:eastAsia="方正仿宋_GBK" w:cs="Times New Roman"/>
          <w:b w:val="0"/>
          <w:bCs w:val="0"/>
          <w:color w:val="auto"/>
          <w:sz w:val="32"/>
          <w:szCs w:val="32"/>
          <w:highlight w:val="none"/>
        </w:rPr>
      </w:pPr>
      <w:bookmarkStart w:id="14" w:name="_Toc29982"/>
      <w:r>
        <w:rPr>
          <w:rFonts w:ascii="Times New Roman" w:hAnsi="Times New Roman" w:eastAsia="方正仿宋_GBK" w:cs="Times New Roman"/>
          <w:b w:val="0"/>
          <w:bCs w:val="0"/>
          <w:color w:val="auto"/>
          <w:sz w:val="32"/>
          <w:szCs w:val="32"/>
          <w:highlight w:val="none"/>
        </w:rPr>
        <w:t>1. 202</w:t>
      </w:r>
      <w:r>
        <w:rPr>
          <w:rFonts w:hint="eastAsia" w:ascii="Times New Roman" w:hAnsi="Times New Roman" w:eastAsia="方正仿宋_GBK" w:cs="Times New Roman"/>
          <w:b w:val="0"/>
          <w:bCs w:val="0"/>
          <w:color w:val="auto"/>
          <w:sz w:val="32"/>
          <w:szCs w:val="32"/>
          <w:highlight w:val="none"/>
          <w:lang w:val="en-US" w:eastAsia="zh-CN"/>
        </w:rPr>
        <w:t>4</w:t>
      </w:r>
      <w:r>
        <w:rPr>
          <w:rFonts w:hint="eastAsia" w:ascii="Times New Roman" w:hAnsi="Times New Roman" w:eastAsia="方正仿宋_GBK" w:cs="Times New Roman"/>
          <w:b w:val="0"/>
          <w:bCs w:val="0"/>
          <w:color w:val="auto"/>
          <w:sz w:val="32"/>
          <w:szCs w:val="32"/>
          <w:highlight w:val="none"/>
        </w:rPr>
        <w:t>年度部门目标</w:t>
      </w:r>
      <w:bookmarkEnd w:id="14"/>
    </w:p>
    <w:p w14:paraId="5E56507E">
      <w:pPr>
        <w:widowControl w:val="0"/>
        <w:spacing w:line="560" w:lineRule="exact"/>
        <w:ind w:firstLine="632" w:firstLineChars="200"/>
        <w:outlineLvl w:val="1"/>
        <w:rPr>
          <w:rFonts w:hint="eastAsia" w:ascii="Times New Roman" w:hAnsi="Times New Roman" w:eastAsia="方正仿宋_GBK" w:cs="Times New Roman"/>
          <w:b w:val="0"/>
          <w:bCs w:val="0"/>
          <w:color w:val="auto"/>
          <w:sz w:val="32"/>
          <w:szCs w:val="32"/>
          <w:highlight w:val="none"/>
        </w:rPr>
      </w:pPr>
      <w:bookmarkStart w:id="15" w:name="_Toc20135"/>
      <w:r>
        <w:rPr>
          <w:rFonts w:hint="eastAsia" w:ascii="Times New Roman" w:hAnsi="Times New Roman" w:eastAsia="方正仿宋_GBK" w:cs="Times New Roman"/>
          <w:b w:val="0"/>
          <w:bCs w:val="0"/>
          <w:color w:val="auto"/>
          <w:sz w:val="32"/>
          <w:szCs w:val="32"/>
          <w:highlight w:val="none"/>
        </w:rPr>
        <w:t>坚持以习近平新时代中国特色社会主义思想为指导，贯彻落实市委市政府的决策部署，坚持工匠精神，下足绣花功夫，推进公园城市建设，践行绿水青山就是金山银山的理念，实施科学绿化，深入推行林长制，统筹山水林田湖草一体化保护和系统治理，为推进中国式现代化南京新实践作出新的贡献。</w:t>
      </w:r>
    </w:p>
    <w:p w14:paraId="13BE5A1A">
      <w:pPr>
        <w:widowControl w:val="0"/>
        <w:spacing w:line="560" w:lineRule="exact"/>
        <w:ind w:firstLine="632" w:firstLineChars="200"/>
        <w:outlineLvl w:val="1"/>
        <w:rPr>
          <w:rFonts w:ascii="Times New Roman" w:hAnsi="Times New Roman" w:eastAsia="方正仿宋_GBK" w:cs="Times New Roman"/>
          <w:b w:val="0"/>
          <w:bCs w:val="0"/>
          <w:color w:val="auto"/>
          <w:sz w:val="32"/>
          <w:szCs w:val="32"/>
          <w:highlight w:val="none"/>
        </w:rPr>
      </w:pPr>
      <w:r>
        <w:rPr>
          <w:rFonts w:ascii="Times New Roman" w:hAnsi="Times New Roman" w:eastAsia="方正仿宋_GBK" w:cs="Times New Roman"/>
          <w:b w:val="0"/>
          <w:bCs w:val="0"/>
          <w:color w:val="auto"/>
          <w:sz w:val="32"/>
          <w:szCs w:val="32"/>
          <w:highlight w:val="none"/>
        </w:rPr>
        <w:t>2. 202</w:t>
      </w:r>
      <w:r>
        <w:rPr>
          <w:rFonts w:hint="eastAsia" w:ascii="Times New Roman" w:hAnsi="Times New Roman" w:eastAsia="方正仿宋_GBK" w:cs="Times New Roman"/>
          <w:b w:val="0"/>
          <w:bCs w:val="0"/>
          <w:color w:val="auto"/>
          <w:sz w:val="32"/>
          <w:szCs w:val="32"/>
          <w:highlight w:val="none"/>
          <w:lang w:val="en-US" w:eastAsia="zh-CN"/>
        </w:rPr>
        <w:t>4</w:t>
      </w:r>
      <w:r>
        <w:rPr>
          <w:rFonts w:hint="eastAsia" w:ascii="Times New Roman" w:hAnsi="Times New Roman" w:eastAsia="方正仿宋_GBK" w:cs="Times New Roman"/>
          <w:b w:val="0"/>
          <w:bCs w:val="0"/>
          <w:color w:val="auto"/>
          <w:sz w:val="32"/>
          <w:szCs w:val="32"/>
          <w:highlight w:val="none"/>
        </w:rPr>
        <w:t>年专项资金目标</w:t>
      </w:r>
      <w:bookmarkEnd w:id="15"/>
    </w:p>
    <w:p w14:paraId="0CA044B6">
      <w:pPr>
        <w:widowControl w:val="0"/>
        <w:spacing w:line="560" w:lineRule="exact"/>
        <w:ind w:firstLine="632" w:firstLineChars="200"/>
        <w:rPr>
          <w:rFonts w:ascii="Times New Roman" w:hAnsi="Times New Roman" w:eastAsia="方正仿宋_GBK" w:cs="Times New Roman"/>
          <w:b w:val="0"/>
          <w:bCs w:val="0"/>
          <w:color w:val="auto"/>
          <w:sz w:val="32"/>
          <w:szCs w:val="32"/>
          <w:highlight w:val="none"/>
        </w:rPr>
      </w:pPr>
      <w:r>
        <w:rPr>
          <w:rFonts w:hint="eastAsia" w:ascii="Times New Roman" w:hAnsi="Times New Roman" w:eastAsia="方正仿宋_GBK" w:cs="Times New Roman"/>
          <w:b w:val="0"/>
          <w:bCs w:val="0"/>
          <w:color w:val="auto"/>
          <w:sz w:val="32"/>
          <w:szCs w:val="32"/>
          <w:highlight w:val="none"/>
        </w:rPr>
        <w:t>（</w:t>
      </w:r>
      <w:r>
        <w:rPr>
          <w:rFonts w:ascii="Times New Roman" w:hAnsi="Times New Roman" w:eastAsia="方正仿宋_GBK" w:cs="Times New Roman"/>
          <w:b w:val="0"/>
          <w:bCs w:val="0"/>
          <w:color w:val="auto"/>
          <w:sz w:val="32"/>
          <w:szCs w:val="32"/>
          <w:highlight w:val="none"/>
        </w:rPr>
        <w:t>1</w:t>
      </w:r>
      <w:r>
        <w:rPr>
          <w:rFonts w:hint="eastAsia" w:ascii="Times New Roman" w:hAnsi="Times New Roman" w:eastAsia="方正仿宋_GBK" w:cs="Times New Roman"/>
          <w:b w:val="0"/>
          <w:bCs w:val="0"/>
          <w:color w:val="auto"/>
          <w:sz w:val="32"/>
          <w:szCs w:val="32"/>
          <w:highlight w:val="none"/>
        </w:rPr>
        <w:t>）绿色南京</w:t>
      </w:r>
      <w:r>
        <w:rPr>
          <w:rFonts w:hint="eastAsia" w:eastAsia="方正仿宋_GBK" w:cs="Times New Roman"/>
          <w:b w:val="0"/>
          <w:bCs w:val="0"/>
          <w:color w:val="auto"/>
          <w:sz w:val="32"/>
          <w:szCs w:val="32"/>
          <w:highlight w:val="none"/>
          <w:lang w:eastAsia="zh-CN"/>
        </w:rPr>
        <w:t>专项资金</w:t>
      </w:r>
      <w:r>
        <w:rPr>
          <w:rFonts w:hint="eastAsia" w:ascii="Times New Roman" w:hAnsi="Times New Roman" w:eastAsia="方正仿宋_GBK" w:cs="Times New Roman"/>
          <w:b w:val="0"/>
          <w:bCs w:val="0"/>
          <w:color w:val="auto"/>
          <w:sz w:val="32"/>
          <w:szCs w:val="32"/>
          <w:highlight w:val="none"/>
        </w:rPr>
        <w:t>：</w:t>
      </w:r>
      <w:r>
        <w:rPr>
          <w:rFonts w:hint="eastAsia" w:ascii="Times New Roman" w:hAnsi="Times New Roman" w:eastAsia="方正仿宋_GBK" w:cs="Times New Roman"/>
          <w:b w:val="0"/>
          <w:bCs w:val="0"/>
          <w:color w:val="000000" w:themeColor="text1"/>
          <w:sz w:val="32"/>
          <w:szCs w:val="32"/>
          <w:highlight w:val="none"/>
          <w:u w:val="none"/>
          <w:lang w:val="en-US" w:eastAsia="zh-CN"/>
          <w14:textFill>
            <w14:solidFill>
              <w14:schemeClr w14:val="tx1"/>
            </w14:solidFill>
          </w14:textFill>
        </w:rPr>
        <w:t>全市森林抚育、湿地修复、森林防火等工作达到省林业局考核指标。</w:t>
      </w:r>
    </w:p>
    <w:p w14:paraId="564DFA95">
      <w:pPr>
        <w:overflowPunct w:val="0"/>
        <w:autoSpaceDE w:val="0"/>
        <w:autoSpaceDN w:val="0"/>
        <w:adjustRightInd w:val="0"/>
        <w:snapToGrid w:val="0"/>
        <w:spacing w:line="560" w:lineRule="exact"/>
        <w:ind w:firstLine="632" w:firstLineChars="200"/>
        <w:jc w:val="both"/>
        <w:textAlignment w:val="baseline"/>
        <w:rPr>
          <w:rFonts w:ascii="Times New Roman" w:hAnsi="Times New Roman" w:eastAsia="方正仿宋_GBK" w:cs="Times New Roman"/>
          <w:b w:val="0"/>
          <w:bCs w:val="0"/>
          <w:color w:val="auto"/>
          <w:sz w:val="32"/>
          <w:szCs w:val="32"/>
          <w:highlight w:val="none"/>
        </w:rPr>
      </w:pPr>
      <w:r>
        <w:rPr>
          <w:rFonts w:hint="eastAsia" w:ascii="Times New Roman" w:hAnsi="Times New Roman" w:eastAsia="方正仿宋_GBK" w:cs="Times New Roman"/>
          <w:b w:val="0"/>
          <w:bCs w:val="0"/>
          <w:color w:val="auto"/>
          <w:sz w:val="32"/>
          <w:szCs w:val="32"/>
          <w:highlight w:val="none"/>
        </w:rPr>
        <w:t>（</w:t>
      </w:r>
      <w:r>
        <w:rPr>
          <w:rFonts w:ascii="Times New Roman" w:hAnsi="Times New Roman" w:eastAsia="方正仿宋_GBK" w:cs="Times New Roman"/>
          <w:b w:val="0"/>
          <w:bCs w:val="0"/>
          <w:color w:val="auto"/>
          <w:sz w:val="32"/>
          <w:szCs w:val="32"/>
          <w:highlight w:val="none"/>
        </w:rPr>
        <w:t>2</w:t>
      </w:r>
      <w:r>
        <w:rPr>
          <w:rFonts w:hint="eastAsia" w:ascii="Times New Roman" w:hAnsi="Times New Roman" w:eastAsia="方正仿宋_GBK" w:cs="Times New Roman"/>
          <w:b w:val="0"/>
          <w:bCs w:val="0"/>
          <w:color w:val="auto"/>
          <w:sz w:val="32"/>
          <w:szCs w:val="32"/>
          <w:highlight w:val="none"/>
        </w:rPr>
        <w:t>）森林生态效益补偿</w:t>
      </w:r>
      <w:r>
        <w:rPr>
          <w:rFonts w:hint="eastAsia" w:eastAsia="方正仿宋_GBK" w:cs="Times New Roman"/>
          <w:b w:val="0"/>
          <w:bCs w:val="0"/>
          <w:color w:val="auto"/>
          <w:sz w:val="32"/>
          <w:szCs w:val="32"/>
          <w:highlight w:val="none"/>
          <w:lang w:eastAsia="zh-CN"/>
        </w:rPr>
        <w:t>专项资金</w:t>
      </w:r>
      <w:r>
        <w:rPr>
          <w:rFonts w:hint="eastAsia" w:ascii="Times New Roman" w:hAnsi="Times New Roman" w:eastAsia="方正仿宋_GBK" w:cs="Times New Roman"/>
          <w:b w:val="0"/>
          <w:bCs w:val="0"/>
          <w:color w:val="auto"/>
          <w:sz w:val="32"/>
          <w:szCs w:val="32"/>
          <w:highlight w:val="none"/>
        </w:rPr>
        <w:t>：</w:t>
      </w:r>
      <w:r>
        <w:rPr>
          <w:rFonts w:hint="eastAsia" w:eastAsia="方正仿宋_GBK"/>
          <w:sz w:val="32"/>
          <w:szCs w:val="32"/>
          <w:highlight w:val="none"/>
          <w:lang w:val="en-US" w:eastAsia="zh-CN"/>
        </w:rPr>
        <w:t>2024年，</w:t>
      </w:r>
      <w:r>
        <w:rPr>
          <w:rFonts w:eastAsia="方正仿宋_GBK"/>
          <w:sz w:val="32"/>
          <w:szCs w:val="32"/>
          <w:highlight w:val="none"/>
        </w:rPr>
        <w:t>根据《江苏省林业局关于开展省级以上公益林优化落界工作的通知》（苏林资〔2024〕15号）要求，我局指导各区以“三调”数据成果为底版，充分衔接国土空间总体规划，严格落实技术规程，编制</w:t>
      </w:r>
      <w:r>
        <w:rPr>
          <w:rFonts w:hint="eastAsia" w:eastAsia="方正仿宋_GBK"/>
          <w:sz w:val="32"/>
          <w:szCs w:val="32"/>
          <w:highlight w:val="none"/>
          <w:lang w:eastAsia="zh-CN"/>
        </w:rPr>
        <w:t>形成南京市</w:t>
      </w:r>
      <w:r>
        <w:rPr>
          <w:rFonts w:eastAsia="方正仿宋_GBK"/>
          <w:sz w:val="32"/>
          <w:szCs w:val="32"/>
          <w:highlight w:val="none"/>
        </w:rPr>
        <w:t>省级公益林优化落界成果数据库。</w:t>
      </w:r>
      <w:r>
        <w:rPr>
          <w:rFonts w:hint="eastAsia" w:eastAsia="方正仿宋_GBK"/>
          <w:sz w:val="32"/>
          <w:szCs w:val="32"/>
          <w:highlight w:val="none"/>
          <w:lang w:eastAsia="zh-CN"/>
        </w:rPr>
        <w:t>同时，依据</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《江苏省生态公益林条例》、《南京市生态保护补偿办法》等相关规定，加强对全市公益林的保护和管理。</w:t>
      </w:r>
    </w:p>
    <w:p w14:paraId="723B7C0A">
      <w:pPr>
        <w:widowControl w:val="0"/>
        <w:tabs>
          <w:tab w:val="left" w:pos="624"/>
          <w:tab w:val="left" w:pos="669"/>
        </w:tabs>
        <w:overflowPunct/>
        <w:autoSpaceDE/>
        <w:autoSpaceDN/>
        <w:adjustRightInd/>
        <w:spacing w:line="560" w:lineRule="exact"/>
        <w:ind w:firstLine="632" w:firstLineChars="200"/>
        <w:textAlignment w:val="auto"/>
        <w:outlineLvl w:val="0"/>
        <w:rPr>
          <w:rFonts w:ascii="黑体" w:hAnsi="黑体" w:eastAsia="黑体" w:cs="黑体"/>
          <w:color w:val="auto"/>
          <w:szCs w:val="32"/>
          <w:highlight w:val="none"/>
        </w:rPr>
      </w:pPr>
      <w:r>
        <w:rPr>
          <w:rFonts w:hint="eastAsia" w:ascii="黑体" w:hAnsi="黑体" w:eastAsia="黑体" w:cs="黑体"/>
          <w:color w:val="auto"/>
          <w:szCs w:val="32"/>
          <w:highlight w:val="none"/>
        </w:rPr>
        <w:t>二、评价结论</w:t>
      </w:r>
    </w:p>
    <w:p w14:paraId="21C9876B">
      <w:pPr>
        <w:widowControl w:val="0"/>
        <w:overflowPunct/>
        <w:autoSpaceDE/>
        <w:autoSpaceDN/>
        <w:adjustRightInd/>
        <w:spacing w:line="560" w:lineRule="exact"/>
        <w:ind w:firstLine="632" w:firstLineChars="200"/>
        <w:textAlignment w:val="auto"/>
        <w:outlineLvl w:val="1"/>
        <w:rPr>
          <w:rFonts w:ascii="Times New Roman" w:hAnsi="Times New Roman" w:eastAsia="方正仿宋_GBK" w:cs="Times New Roman"/>
          <w:b/>
          <w:bCs/>
          <w:color w:val="auto"/>
          <w:sz w:val="32"/>
          <w:szCs w:val="32"/>
          <w:highlight w:val="none"/>
        </w:rPr>
      </w:pPr>
      <w:bookmarkStart w:id="16" w:name="_Toc22390"/>
      <w:r>
        <w:rPr>
          <w:rFonts w:hint="eastAsia" w:ascii="Times New Roman" w:hAnsi="Times New Roman" w:eastAsia="方正仿宋_GBK" w:cs="Times New Roman"/>
          <w:b/>
          <w:bCs/>
          <w:color w:val="auto"/>
          <w:sz w:val="32"/>
          <w:szCs w:val="32"/>
          <w:highlight w:val="none"/>
        </w:rPr>
        <w:t>（一）评价对象、范围</w:t>
      </w:r>
    </w:p>
    <w:p w14:paraId="527327A7">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color w:val="auto"/>
          <w:sz w:val="32"/>
          <w:szCs w:val="32"/>
          <w:highlight w:val="none"/>
        </w:rPr>
      </w:pPr>
      <w:r>
        <w:rPr>
          <w:rFonts w:hint="eastAsia" w:ascii="Times New Roman" w:hAnsi="Times New Roman" w:eastAsia="方正仿宋_GBK" w:cs="Times New Roman"/>
          <w:b w:val="0"/>
          <w:bCs w:val="0"/>
          <w:color w:val="auto"/>
          <w:sz w:val="32"/>
          <w:szCs w:val="32"/>
          <w:highlight w:val="none"/>
        </w:rPr>
        <w:t>本次绩效评价的对象为</w:t>
      </w:r>
      <w:r>
        <w:rPr>
          <w:rFonts w:ascii="Times New Roman" w:hAnsi="Times New Roman" w:eastAsia="方正仿宋_GBK" w:cs="Times New Roman"/>
          <w:b w:val="0"/>
          <w:bCs w:val="0"/>
          <w:color w:val="auto"/>
          <w:sz w:val="32"/>
          <w:szCs w:val="32"/>
          <w:highlight w:val="none"/>
        </w:rPr>
        <w:t>202</w:t>
      </w:r>
      <w:r>
        <w:rPr>
          <w:rFonts w:hint="eastAsia" w:ascii="Times New Roman" w:hAnsi="Times New Roman" w:eastAsia="方正仿宋_GBK" w:cs="Times New Roman"/>
          <w:b w:val="0"/>
          <w:bCs w:val="0"/>
          <w:color w:val="auto"/>
          <w:sz w:val="32"/>
          <w:szCs w:val="32"/>
          <w:highlight w:val="none"/>
          <w:lang w:val="en-US" w:eastAsia="zh-CN"/>
        </w:rPr>
        <w:t>4</w:t>
      </w:r>
      <w:r>
        <w:rPr>
          <w:rFonts w:hint="eastAsia" w:ascii="Times New Roman" w:hAnsi="Times New Roman" w:eastAsia="方正仿宋_GBK" w:cs="Times New Roman"/>
          <w:b w:val="0"/>
          <w:bCs w:val="0"/>
          <w:color w:val="auto"/>
          <w:sz w:val="32"/>
          <w:szCs w:val="32"/>
          <w:highlight w:val="none"/>
        </w:rPr>
        <w:t>年度市绿化园林局部门整体预算和部门管理的专项资金使用管理、使用绩效情况。</w:t>
      </w:r>
    </w:p>
    <w:p w14:paraId="262520D1">
      <w:pPr>
        <w:widowControl w:val="0"/>
        <w:overflowPunct/>
        <w:autoSpaceDE/>
        <w:autoSpaceDN/>
        <w:adjustRightInd/>
        <w:spacing w:line="560" w:lineRule="exact"/>
        <w:ind w:firstLine="632" w:firstLineChars="200"/>
        <w:textAlignment w:val="auto"/>
        <w:outlineLvl w:val="1"/>
        <w:rPr>
          <w:rFonts w:hint="eastAsia" w:ascii="Times New Roman" w:hAnsi="Times New Roman" w:eastAsia="方正仿宋_GBK" w:cs="Times New Roman"/>
          <w:b/>
          <w:bCs/>
          <w:color w:val="auto"/>
          <w:sz w:val="32"/>
          <w:szCs w:val="32"/>
          <w:highlight w:val="none"/>
        </w:rPr>
      </w:pPr>
      <w:r>
        <w:rPr>
          <w:rFonts w:hint="eastAsia" w:ascii="Times New Roman" w:hAnsi="Times New Roman" w:eastAsia="方正仿宋_GBK" w:cs="Times New Roman"/>
          <w:b/>
          <w:bCs/>
          <w:color w:val="auto"/>
          <w:sz w:val="32"/>
          <w:szCs w:val="32"/>
          <w:highlight w:val="none"/>
        </w:rPr>
        <w:t>（二）评价结论</w:t>
      </w:r>
    </w:p>
    <w:p w14:paraId="64AA02A9">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color w:val="auto"/>
          <w:sz w:val="32"/>
          <w:szCs w:val="32"/>
          <w:highlight w:val="none"/>
        </w:rPr>
      </w:pPr>
      <w:r>
        <w:rPr>
          <w:rFonts w:hint="eastAsia" w:ascii="Times New Roman" w:hAnsi="Times New Roman" w:eastAsia="方正仿宋_GBK" w:cs="Times New Roman"/>
          <w:b w:val="0"/>
          <w:bCs w:val="0"/>
          <w:sz w:val="32"/>
          <w:szCs w:val="32"/>
        </w:rPr>
        <w:t>全市林木覆盖率达</w:t>
      </w:r>
      <w:r>
        <w:rPr>
          <w:rFonts w:ascii="Times New Roman" w:hAnsi="Times New Roman" w:eastAsia="方正仿宋_GBK" w:cs="Times New Roman"/>
          <w:b w:val="0"/>
          <w:bCs w:val="0"/>
          <w:sz w:val="32"/>
          <w:szCs w:val="32"/>
        </w:rPr>
        <w:t>31.96%</w:t>
      </w:r>
      <w:r>
        <w:rPr>
          <w:rFonts w:hint="eastAsia" w:ascii="Times New Roman" w:hAnsi="Times New Roman" w:eastAsia="方正仿宋_GBK" w:cs="Times New Roman"/>
          <w:b w:val="0"/>
          <w:bCs w:val="0"/>
          <w:sz w:val="32"/>
          <w:szCs w:val="32"/>
        </w:rPr>
        <w:t>，连续7年位居全省第一；建成区绿化覆盖率</w:t>
      </w:r>
      <w:r>
        <w:rPr>
          <w:rFonts w:ascii="Times New Roman" w:hAnsi="Times New Roman" w:eastAsia="方正仿宋_GBK" w:cs="Times New Roman"/>
          <w:b w:val="0"/>
          <w:bCs w:val="0"/>
          <w:sz w:val="32"/>
          <w:szCs w:val="32"/>
        </w:rPr>
        <w:t>45.</w:t>
      </w:r>
      <w:r>
        <w:rPr>
          <w:rFonts w:hint="eastAsia" w:eastAsia="方正仿宋_GBK" w:cs="Times New Roman"/>
          <w:b w:val="0"/>
          <w:bCs w:val="0"/>
          <w:sz w:val="32"/>
          <w:szCs w:val="32"/>
          <w:lang w:val="en-US" w:eastAsia="zh-CN"/>
        </w:rPr>
        <w:t>12</w:t>
      </w:r>
      <w:r>
        <w:rPr>
          <w:rFonts w:ascii="Times New Roman" w:hAnsi="Times New Roman" w:eastAsia="方正仿宋_GBK" w:cs="Times New Roman"/>
          <w:b w:val="0"/>
          <w:bCs w:val="0"/>
          <w:sz w:val="32"/>
          <w:szCs w:val="32"/>
        </w:rPr>
        <w:t>%</w:t>
      </w:r>
      <w:r>
        <w:rPr>
          <w:rFonts w:hint="eastAsia" w:ascii="Times New Roman" w:hAnsi="Times New Roman" w:eastAsia="方正仿宋_GBK" w:cs="Times New Roman"/>
          <w:b w:val="0"/>
          <w:bCs w:val="0"/>
          <w:sz w:val="32"/>
          <w:szCs w:val="32"/>
        </w:rPr>
        <w:t>，建成区绿地率</w:t>
      </w:r>
      <w:r>
        <w:rPr>
          <w:rFonts w:ascii="Times New Roman" w:hAnsi="Times New Roman" w:eastAsia="方正仿宋_GBK" w:cs="Times New Roman"/>
          <w:b w:val="0"/>
          <w:bCs w:val="0"/>
          <w:sz w:val="32"/>
          <w:szCs w:val="32"/>
        </w:rPr>
        <w:t>40.</w:t>
      </w:r>
      <w:r>
        <w:rPr>
          <w:rFonts w:hint="eastAsia" w:eastAsia="方正仿宋_GBK" w:cs="Times New Roman"/>
          <w:b w:val="0"/>
          <w:bCs w:val="0"/>
          <w:sz w:val="32"/>
          <w:szCs w:val="32"/>
          <w:lang w:val="en-US" w:eastAsia="zh-CN"/>
        </w:rPr>
        <w:t>92</w:t>
      </w:r>
      <w:r>
        <w:rPr>
          <w:rFonts w:ascii="Times New Roman" w:hAnsi="Times New Roman" w:eastAsia="方正仿宋_GBK" w:cs="Times New Roman"/>
          <w:b w:val="0"/>
          <w:bCs w:val="0"/>
          <w:sz w:val="32"/>
          <w:szCs w:val="32"/>
        </w:rPr>
        <w:t>%</w:t>
      </w:r>
      <w:r>
        <w:rPr>
          <w:rFonts w:hint="eastAsia" w:ascii="Times New Roman" w:hAnsi="Times New Roman" w:eastAsia="方正仿宋_GBK" w:cs="Times New Roman"/>
          <w:b w:val="0"/>
          <w:bCs w:val="0"/>
          <w:sz w:val="32"/>
          <w:szCs w:val="32"/>
        </w:rPr>
        <w:t>，人均公园绿地面积</w:t>
      </w:r>
      <w:r>
        <w:rPr>
          <w:rFonts w:ascii="Times New Roman" w:hAnsi="Times New Roman" w:eastAsia="方正仿宋_GBK" w:cs="Times New Roman"/>
          <w:b w:val="0"/>
          <w:bCs w:val="0"/>
          <w:sz w:val="32"/>
          <w:szCs w:val="32"/>
        </w:rPr>
        <w:t>16.2</w:t>
      </w:r>
      <w:r>
        <w:rPr>
          <w:rFonts w:hint="eastAsia" w:eastAsia="方正仿宋_GBK" w:cs="Times New Roman"/>
          <w:b w:val="0"/>
          <w:bCs w:val="0"/>
          <w:sz w:val="32"/>
          <w:szCs w:val="32"/>
          <w:lang w:val="en-US" w:eastAsia="zh-CN"/>
        </w:rPr>
        <w:t>1</w:t>
      </w:r>
      <w:r>
        <w:rPr>
          <w:rFonts w:hint="eastAsia" w:ascii="Times New Roman" w:hAnsi="Times New Roman" w:eastAsia="方正仿宋_GBK" w:cs="Times New Roman"/>
          <w:b w:val="0"/>
          <w:bCs w:val="0"/>
          <w:sz w:val="32"/>
          <w:szCs w:val="32"/>
        </w:rPr>
        <w:t>平方米，均位居全国同类城市前列。</w:t>
      </w:r>
      <w:r>
        <w:rPr>
          <w:rFonts w:ascii="Times New Roman" w:hAnsi="Times New Roman" w:eastAsia="方正仿宋_GBK" w:cs="Times New Roman"/>
          <w:b w:val="0"/>
          <w:bCs w:val="0"/>
          <w:sz w:val="32"/>
          <w:szCs w:val="32"/>
        </w:rPr>
        <w:t>2024</w:t>
      </w:r>
      <w:r>
        <w:rPr>
          <w:rFonts w:hint="eastAsia" w:ascii="Times New Roman" w:hAnsi="Times New Roman" w:eastAsia="方正仿宋_GBK" w:cs="Times New Roman"/>
          <w:b w:val="0"/>
          <w:bCs w:val="0"/>
          <w:sz w:val="32"/>
          <w:szCs w:val="32"/>
        </w:rPr>
        <w:t>年超额完成儿童友好公园建设任务；超额完成省民生实事“乐享园林”活力空间和省级绿美村庄建设任务；新增造林</w:t>
      </w:r>
      <w:r>
        <w:rPr>
          <w:rFonts w:ascii="Times New Roman" w:hAnsi="Times New Roman" w:eastAsia="方正仿宋_GBK" w:cs="Times New Roman"/>
          <w:b w:val="0"/>
          <w:bCs w:val="0"/>
          <w:sz w:val="32"/>
          <w:szCs w:val="32"/>
        </w:rPr>
        <w:t>325</w:t>
      </w:r>
      <w:r>
        <w:rPr>
          <w:rFonts w:hint="eastAsia" w:ascii="Times New Roman" w:hAnsi="Times New Roman" w:eastAsia="方正仿宋_GBK" w:cs="Times New Roman"/>
          <w:b w:val="0"/>
          <w:bCs w:val="0"/>
          <w:sz w:val="32"/>
          <w:szCs w:val="32"/>
        </w:rPr>
        <w:t>亩；超额完成年度沿江湿地修复任务；南京长江江豚省级自然保护区江豚数量增长至约</w:t>
      </w:r>
      <w:r>
        <w:rPr>
          <w:rFonts w:ascii="Times New Roman" w:hAnsi="Times New Roman" w:eastAsia="方正仿宋_GBK" w:cs="Times New Roman"/>
          <w:b w:val="0"/>
          <w:bCs w:val="0"/>
          <w:sz w:val="32"/>
          <w:szCs w:val="32"/>
        </w:rPr>
        <w:t>65</w:t>
      </w:r>
      <w:r>
        <w:rPr>
          <w:rFonts w:hint="eastAsia" w:ascii="Times New Roman" w:hAnsi="Times New Roman" w:eastAsia="方正仿宋_GBK" w:cs="Times New Roman"/>
          <w:b w:val="0"/>
          <w:bCs w:val="0"/>
          <w:sz w:val="32"/>
          <w:szCs w:val="32"/>
        </w:rPr>
        <w:t>头；各类展园建设成绩斐然，南京园是</w:t>
      </w:r>
      <w:r>
        <w:rPr>
          <w:rFonts w:ascii="Times New Roman" w:hAnsi="Times New Roman" w:eastAsia="方正仿宋_GBK" w:cs="Times New Roman"/>
          <w:b w:val="0"/>
          <w:bCs w:val="0"/>
          <w:sz w:val="32"/>
          <w:szCs w:val="32"/>
        </w:rPr>
        <w:t>2024</w:t>
      </w:r>
      <w:r>
        <w:rPr>
          <w:rFonts w:hint="eastAsia" w:ascii="Times New Roman" w:hAnsi="Times New Roman" w:eastAsia="方正仿宋_GBK" w:cs="Times New Roman"/>
          <w:b w:val="0"/>
          <w:bCs w:val="0"/>
          <w:sz w:val="32"/>
          <w:szCs w:val="32"/>
        </w:rPr>
        <w:t>年成都世界园艺博览会唯一</w:t>
      </w:r>
      <w:r>
        <w:rPr>
          <w:rFonts w:hint="eastAsia" w:eastAsia="方正仿宋_GBK" w:cs="Times New Roman"/>
          <w:b w:val="0"/>
          <w:bCs w:val="0"/>
          <w:sz w:val="32"/>
          <w:szCs w:val="32"/>
          <w:lang w:eastAsia="zh-CN"/>
        </w:rPr>
        <w:t>同时</w:t>
      </w:r>
      <w:r>
        <w:rPr>
          <w:rFonts w:hint="eastAsia" w:ascii="Times New Roman" w:hAnsi="Times New Roman" w:eastAsia="方正仿宋_GBK" w:cs="Times New Roman"/>
          <w:b w:val="0"/>
          <w:bCs w:val="0"/>
          <w:sz w:val="32"/>
          <w:szCs w:val="32"/>
        </w:rPr>
        <w:t>获得国内外两个最高奖项的城市展园。局官方微博</w:t>
      </w:r>
      <w:r>
        <w:rPr>
          <w:rFonts w:ascii="Times New Roman" w:hAnsi="Times New Roman" w:eastAsia="方正仿宋_GBK" w:cs="Times New Roman"/>
          <w:b w:val="0"/>
          <w:bCs w:val="0"/>
          <w:sz w:val="32"/>
          <w:szCs w:val="32"/>
        </w:rPr>
        <w:t>2024</w:t>
      </w:r>
      <w:r>
        <w:rPr>
          <w:rFonts w:hint="eastAsia" w:ascii="Times New Roman" w:hAnsi="Times New Roman" w:eastAsia="方正仿宋_GBK" w:cs="Times New Roman"/>
          <w:b w:val="0"/>
          <w:bCs w:val="0"/>
          <w:sz w:val="32"/>
          <w:szCs w:val="32"/>
        </w:rPr>
        <w:t>年上半年排名全国园林环卫微博第一。</w:t>
      </w:r>
    </w:p>
    <w:p w14:paraId="4C22D293">
      <w:pPr>
        <w:widowControl w:val="0"/>
        <w:overflowPunct/>
        <w:autoSpaceDE/>
        <w:autoSpaceDN/>
        <w:adjustRightInd/>
        <w:spacing w:line="560" w:lineRule="exact"/>
        <w:ind w:firstLine="632" w:firstLineChars="200"/>
        <w:textAlignment w:val="auto"/>
        <w:outlineLvl w:val="1"/>
        <w:rPr>
          <w:rFonts w:hint="eastAsia" w:ascii="Times New Roman" w:hAnsi="Times New Roman" w:eastAsia="方正仿宋_GBK" w:cs="Times New Roman"/>
          <w:b/>
          <w:bCs/>
          <w:color w:val="auto"/>
          <w:sz w:val="32"/>
          <w:szCs w:val="32"/>
          <w:highlight w:val="none"/>
        </w:rPr>
      </w:pPr>
      <w:r>
        <w:rPr>
          <w:rFonts w:hint="eastAsia" w:ascii="Times New Roman" w:hAnsi="Times New Roman" w:eastAsia="方正仿宋_GBK" w:cs="Times New Roman"/>
          <w:b/>
          <w:bCs/>
          <w:color w:val="auto"/>
          <w:sz w:val="32"/>
          <w:szCs w:val="32"/>
          <w:highlight w:val="none"/>
        </w:rPr>
        <w:t>（三）评价结果</w:t>
      </w:r>
      <w:bookmarkEnd w:id="16"/>
    </w:p>
    <w:p w14:paraId="024E3112">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color w:val="auto"/>
          <w:sz w:val="32"/>
          <w:szCs w:val="32"/>
          <w:highlight w:val="none"/>
        </w:rPr>
      </w:pPr>
      <w:r>
        <w:rPr>
          <w:rFonts w:hint="eastAsia" w:ascii="Times New Roman" w:hAnsi="Times New Roman" w:eastAsia="方正仿宋_GBK" w:cs="Times New Roman"/>
          <w:b w:val="0"/>
          <w:bCs w:val="0"/>
          <w:color w:val="auto"/>
          <w:sz w:val="32"/>
          <w:szCs w:val="32"/>
          <w:highlight w:val="none"/>
        </w:rPr>
        <w:t>评价小组通过数据采集、问卷调查及实地调研访谈等形式，对决策、</w:t>
      </w:r>
      <w:r>
        <w:rPr>
          <w:rFonts w:hint="eastAsia" w:eastAsia="方正仿宋_GBK" w:cs="Times New Roman"/>
          <w:b w:val="0"/>
          <w:bCs w:val="0"/>
          <w:color w:val="auto"/>
          <w:sz w:val="32"/>
          <w:szCs w:val="32"/>
          <w:highlight w:val="none"/>
          <w:lang w:eastAsia="zh-CN"/>
        </w:rPr>
        <w:t>过程</w:t>
      </w:r>
      <w:r>
        <w:rPr>
          <w:rFonts w:hint="eastAsia" w:ascii="Times New Roman" w:hAnsi="Times New Roman" w:eastAsia="方正仿宋_GBK" w:cs="Times New Roman"/>
          <w:b w:val="0"/>
          <w:bCs w:val="0"/>
          <w:color w:val="auto"/>
          <w:sz w:val="32"/>
          <w:szCs w:val="32"/>
          <w:highlight w:val="none"/>
        </w:rPr>
        <w:t>、履职、</w:t>
      </w:r>
      <w:r>
        <w:rPr>
          <w:rFonts w:hint="eastAsia" w:eastAsia="方正仿宋_GBK" w:cs="Times New Roman"/>
          <w:b w:val="0"/>
          <w:bCs w:val="0"/>
          <w:color w:val="auto"/>
          <w:sz w:val="32"/>
          <w:szCs w:val="32"/>
          <w:highlight w:val="none"/>
          <w:lang w:eastAsia="zh-CN"/>
        </w:rPr>
        <w:t>效益</w:t>
      </w:r>
      <w:r>
        <w:rPr>
          <w:rFonts w:hint="eastAsia" w:ascii="Times New Roman" w:hAnsi="Times New Roman" w:eastAsia="方正仿宋_GBK" w:cs="Times New Roman"/>
          <w:b w:val="0"/>
          <w:bCs w:val="0"/>
          <w:color w:val="auto"/>
          <w:sz w:val="32"/>
          <w:szCs w:val="32"/>
          <w:highlight w:val="none"/>
        </w:rPr>
        <w:t>、</w:t>
      </w:r>
      <w:r>
        <w:rPr>
          <w:rFonts w:hint="eastAsia" w:eastAsia="方正仿宋_GBK" w:cs="Times New Roman"/>
          <w:b w:val="0"/>
          <w:bCs w:val="0"/>
          <w:color w:val="auto"/>
          <w:sz w:val="32"/>
          <w:szCs w:val="32"/>
          <w:highlight w:val="none"/>
          <w:lang w:eastAsia="zh-CN"/>
        </w:rPr>
        <w:t>满意度</w:t>
      </w:r>
      <w:r>
        <w:rPr>
          <w:rFonts w:hint="eastAsia" w:ascii="Times New Roman" w:hAnsi="Times New Roman" w:eastAsia="方正仿宋_GBK" w:cs="Times New Roman"/>
          <w:b w:val="0"/>
          <w:bCs w:val="0"/>
          <w:color w:val="auto"/>
          <w:sz w:val="32"/>
          <w:szCs w:val="32"/>
          <w:highlight w:val="none"/>
        </w:rPr>
        <w:t>等内容进行剖析，制定了评价标准和评分规则，经审核评定，</w:t>
      </w:r>
      <w:r>
        <w:rPr>
          <w:rFonts w:ascii="Times New Roman" w:hAnsi="Times New Roman" w:eastAsia="方正仿宋_GBK" w:cs="Times New Roman"/>
          <w:b w:val="0"/>
          <w:bCs w:val="0"/>
          <w:color w:val="auto"/>
          <w:sz w:val="32"/>
          <w:szCs w:val="32"/>
          <w:highlight w:val="none"/>
        </w:rPr>
        <w:t>202</w:t>
      </w:r>
      <w:r>
        <w:rPr>
          <w:rFonts w:hint="eastAsia" w:ascii="Times New Roman" w:hAnsi="Times New Roman" w:eastAsia="方正仿宋_GBK" w:cs="Times New Roman"/>
          <w:b w:val="0"/>
          <w:bCs w:val="0"/>
          <w:color w:val="auto"/>
          <w:sz w:val="32"/>
          <w:szCs w:val="32"/>
          <w:highlight w:val="none"/>
          <w:lang w:val="en-US" w:eastAsia="zh-CN"/>
        </w:rPr>
        <w:t>4</w:t>
      </w:r>
      <w:r>
        <w:rPr>
          <w:rFonts w:hint="eastAsia" w:ascii="Times New Roman" w:hAnsi="Times New Roman" w:eastAsia="方正仿宋_GBK" w:cs="Times New Roman"/>
          <w:b w:val="0"/>
          <w:bCs w:val="0"/>
          <w:color w:val="auto"/>
          <w:sz w:val="32"/>
          <w:szCs w:val="32"/>
          <w:highlight w:val="none"/>
        </w:rPr>
        <w:t>年度南京市绿化园林局部门整体绩效评价得分</w:t>
      </w:r>
      <w:r>
        <w:rPr>
          <w:rFonts w:hint="eastAsia" w:ascii="Times New Roman" w:hAnsi="Times New Roman" w:eastAsia="方正仿宋_GBK" w:cs="Times New Roman"/>
          <w:b w:val="0"/>
          <w:bCs w:val="0"/>
          <w:color w:val="auto"/>
          <w:sz w:val="32"/>
          <w:szCs w:val="32"/>
          <w:highlight w:val="none"/>
          <w:lang w:val="en-US" w:eastAsia="zh-CN"/>
        </w:rPr>
        <w:t>99</w:t>
      </w:r>
      <w:r>
        <w:rPr>
          <w:rFonts w:hint="eastAsia" w:ascii="Times New Roman" w:hAnsi="Times New Roman" w:eastAsia="方正仿宋_GBK" w:cs="Times New Roman"/>
          <w:b w:val="0"/>
          <w:bCs w:val="0"/>
          <w:color w:val="auto"/>
          <w:sz w:val="32"/>
          <w:szCs w:val="32"/>
          <w:highlight w:val="none"/>
        </w:rPr>
        <w:t>分，等级为“优”，评分见下表：</w:t>
      </w:r>
    </w:p>
    <w:tbl>
      <w:tblPr>
        <w:tblStyle w:val="9"/>
        <w:tblW w:w="4999" w:type="pct"/>
        <w:tblInd w:w="0" w:type="dxa"/>
        <w:tblLayout w:type="autofit"/>
        <w:tblCellMar>
          <w:top w:w="0" w:type="dxa"/>
          <w:left w:w="0" w:type="dxa"/>
          <w:bottom w:w="0" w:type="dxa"/>
          <w:right w:w="0" w:type="dxa"/>
        </w:tblCellMar>
      </w:tblPr>
      <w:tblGrid>
        <w:gridCol w:w="1267"/>
        <w:gridCol w:w="1267"/>
        <w:gridCol w:w="1267"/>
        <w:gridCol w:w="1268"/>
        <w:gridCol w:w="1268"/>
        <w:gridCol w:w="1268"/>
        <w:gridCol w:w="1268"/>
      </w:tblGrid>
      <w:tr w14:paraId="202005C4">
        <w:tblPrEx>
          <w:tblCellMar>
            <w:top w:w="0" w:type="dxa"/>
            <w:left w:w="0" w:type="dxa"/>
            <w:bottom w:w="0" w:type="dxa"/>
            <w:right w:w="0" w:type="dxa"/>
          </w:tblCellMar>
        </w:tblPrEx>
        <w:trPr>
          <w:trHeight w:val="567" w:hRule="exact"/>
          <w:tblHeader/>
        </w:trPr>
        <w:tc>
          <w:tcPr>
            <w:tcW w:w="7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02E082">
            <w:pPr>
              <w:spacing w:line="240" w:lineRule="exact"/>
              <w:jc w:val="center"/>
              <w:textAlignment w:val="center"/>
              <w:rPr>
                <w:rFonts w:ascii="仿宋" w:hAnsi="仿宋" w:eastAsia="仿宋" w:cs="仿宋"/>
                <w:b/>
                <w:bCs/>
                <w:color w:val="auto"/>
                <w:sz w:val="20"/>
                <w:highlight w:val="none"/>
              </w:rPr>
            </w:pPr>
            <w:r>
              <w:rPr>
                <w:rFonts w:hint="eastAsia" w:ascii="仿宋" w:hAnsi="仿宋" w:eastAsia="仿宋" w:cs="仿宋"/>
                <w:b/>
                <w:bCs/>
                <w:color w:val="auto"/>
                <w:sz w:val="20"/>
                <w:highlight w:val="none"/>
              </w:rPr>
              <w:t>项目</w:t>
            </w:r>
          </w:p>
        </w:tc>
        <w:tc>
          <w:tcPr>
            <w:tcW w:w="71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876791">
            <w:pPr>
              <w:spacing w:line="240" w:lineRule="exact"/>
              <w:jc w:val="center"/>
              <w:textAlignment w:val="center"/>
              <w:rPr>
                <w:rFonts w:ascii="仿宋" w:hAnsi="仿宋" w:eastAsia="仿宋" w:cs="仿宋"/>
                <w:b/>
                <w:bCs/>
                <w:color w:val="auto"/>
                <w:sz w:val="20"/>
                <w:highlight w:val="none"/>
              </w:rPr>
            </w:pPr>
            <w:r>
              <w:rPr>
                <w:rFonts w:hint="eastAsia" w:ascii="仿宋" w:hAnsi="仿宋" w:eastAsia="仿宋" w:cs="仿宋"/>
                <w:b/>
                <w:bCs/>
                <w:color w:val="auto"/>
                <w:sz w:val="20"/>
                <w:highlight w:val="none"/>
              </w:rPr>
              <w:t>决策</w:t>
            </w:r>
          </w:p>
        </w:tc>
        <w:tc>
          <w:tcPr>
            <w:tcW w:w="71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02778D">
            <w:pPr>
              <w:spacing w:line="240" w:lineRule="exact"/>
              <w:jc w:val="center"/>
              <w:textAlignment w:val="center"/>
              <w:rPr>
                <w:rFonts w:hint="eastAsia" w:ascii="仿宋" w:hAnsi="仿宋" w:eastAsia="仿宋" w:cs="仿宋"/>
                <w:b/>
                <w:bCs/>
                <w:color w:val="auto"/>
                <w:sz w:val="20"/>
                <w:highlight w:val="none"/>
                <w:lang w:eastAsia="zh-CN"/>
              </w:rPr>
            </w:pPr>
            <w:r>
              <w:rPr>
                <w:rFonts w:hint="eastAsia" w:ascii="仿宋" w:hAnsi="仿宋" w:eastAsia="仿宋" w:cs="仿宋"/>
                <w:b/>
                <w:bCs/>
                <w:color w:val="auto"/>
                <w:sz w:val="20"/>
                <w:highlight w:val="none"/>
                <w:lang w:eastAsia="zh-CN"/>
              </w:rPr>
              <w:t>过程</w:t>
            </w:r>
          </w:p>
        </w:tc>
        <w:tc>
          <w:tcPr>
            <w:tcW w:w="7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E709A3">
            <w:pPr>
              <w:spacing w:line="240" w:lineRule="exact"/>
              <w:jc w:val="center"/>
              <w:textAlignment w:val="center"/>
              <w:rPr>
                <w:rFonts w:ascii="仿宋" w:hAnsi="仿宋" w:eastAsia="仿宋" w:cs="仿宋"/>
                <w:b/>
                <w:bCs/>
                <w:color w:val="auto"/>
                <w:sz w:val="20"/>
                <w:highlight w:val="none"/>
              </w:rPr>
            </w:pPr>
            <w:r>
              <w:rPr>
                <w:rFonts w:hint="eastAsia" w:ascii="仿宋" w:hAnsi="仿宋" w:eastAsia="仿宋" w:cs="仿宋"/>
                <w:b/>
                <w:bCs/>
                <w:color w:val="auto"/>
                <w:sz w:val="20"/>
                <w:highlight w:val="none"/>
              </w:rPr>
              <w:t>履职</w:t>
            </w:r>
          </w:p>
        </w:tc>
        <w:tc>
          <w:tcPr>
            <w:tcW w:w="7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601504">
            <w:pPr>
              <w:spacing w:line="240" w:lineRule="exact"/>
              <w:jc w:val="center"/>
              <w:textAlignment w:val="center"/>
              <w:rPr>
                <w:rFonts w:hint="eastAsia" w:ascii="仿宋" w:hAnsi="仿宋" w:eastAsia="仿宋" w:cs="仿宋"/>
                <w:b/>
                <w:bCs/>
                <w:color w:val="auto"/>
                <w:sz w:val="20"/>
                <w:highlight w:val="none"/>
                <w:lang w:eastAsia="zh-CN"/>
              </w:rPr>
            </w:pPr>
            <w:r>
              <w:rPr>
                <w:rFonts w:hint="eastAsia" w:ascii="仿宋" w:hAnsi="仿宋" w:eastAsia="仿宋" w:cs="仿宋"/>
                <w:b/>
                <w:bCs/>
                <w:color w:val="auto"/>
                <w:sz w:val="20"/>
                <w:highlight w:val="none"/>
                <w:lang w:eastAsia="zh-CN"/>
              </w:rPr>
              <w:t>效益</w:t>
            </w:r>
          </w:p>
        </w:tc>
        <w:tc>
          <w:tcPr>
            <w:tcW w:w="7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A85EC2">
            <w:pPr>
              <w:spacing w:line="240" w:lineRule="exact"/>
              <w:jc w:val="center"/>
              <w:textAlignment w:val="center"/>
              <w:rPr>
                <w:rFonts w:hint="eastAsia" w:ascii="仿宋" w:hAnsi="仿宋" w:eastAsia="仿宋" w:cs="仿宋"/>
                <w:b/>
                <w:bCs/>
                <w:color w:val="auto"/>
                <w:sz w:val="20"/>
                <w:highlight w:val="none"/>
                <w:lang w:eastAsia="zh-CN"/>
              </w:rPr>
            </w:pPr>
            <w:r>
              <w:rPr>
                <w:rFonts w:hint="eastAsia" w:ascii="仿宋" w:hAnsi="仿宋" w:eastAsia="仿宋" w:cs="仿宋"/>
                <w:b/>
                <w:bCs/>
                <w:color w:val="auto"/>
                <w:sz w:val="20"/>
                <w:highlight w:val="none"/>
                <w:lang w:eastAsia="zh-CN"/>
              </w:rPr>
              <w:t>满意度</w:t>
            </w:r>
          </w:p>
        </w:tc>
        <w:tc>
          <w:tcPr>
            <w:tcW w:w="71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D1FBAA">
            <w:pPr>
              <w:spacing w:line="240" w:lineRule="exact"/>
              <w:jc w:val="center"/>
              <w:textAlignment w:val="center"/>
              <w:rPr>
                <w:rFonts w:ascii="仿宋" w:hAnsi="仿宋" w:eastAsia="仿宋" w:cs="仿宋"/>
                <w:b/>
                <w:bCs/>
                <w:color w:val="auto"/>
                <w:sz w:val="20"/>
                <w:highlight w:val="none"/>
              </w:rPr>
            </w:pPr>
            <w:r>
              <w:rPr>
                <w:rFonts w:hint="eastAsia" w:ascii="仿宋" w:hAnsi="仿宋" w:eastAsia="仿宋" w:cs="仿宋"/>
                <w:b/>
                <w:bCs/>
                <w:color w:val="auto"/>
                <w:sz w:val="20"/>
                <w:highlight w:val="none"/>
              </w:rPr>
              <w:t>得分合计</w:t>
            </w:r>
          </w:p>
        </w:tc>
      </w:tr>
      <w:tr w14:paraId="7CED6F66">
        <w:tblPrEx>
          <w:tblCellMar>
            <w:top w:w="0" w:type="dxa"/>
            <w:left w:w="0" w:type="dxa"/>
            <w:bottom w:w="0" w:type="dxa"/>
            <w:right w:w="0" w:type="dxa"/>
          </w:tblCellMar>
        </w:tblPrEx>
        <w:trPr>
          <w:trHeight w:val="567" w:hRule="exact"/>
        </w:trPr>
        <w:tc>
          <w:tcPr>
            <w:tcW w:w="7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05673F">
            <w:pPr>
              <w:spacing w:line="240" w:lineRule="exact"/>
              <w:jc w:val="center"/>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标准分值</w:t>
            </w:r>
          </w:p>
        </w:tc>
        <w:tc>
          <w:tcPr>
            <w:tcW w:w="7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A49733">
            <w:pPr>
              <w:spacing w:line="240" w:lineRule="exact"/>
              <w:jc w:val="center"/>
              <w:textAlignment w:val="center"/>
              <w:rPr>
                <w:rFonts w:hint="eastAsia" w:ascii="仿宋" w:hAnsi="仿宋" w:eastAsia="仿宋" w:cs="仿宋"/>
                <w:color w:val="auto"/>
                <w:sz w:val="20"/>
                <w:highlight w:val="none"/>
                <w:lang w:eastAsia="zh-CN"/>
              </w:rPr>
            </w:pPr>
            <w:r>
              <w:rPr>
                <w:rFonts w:hint="eastAsia" w:ascii="仿宋" w:hAnsi="仿宋" w:eastAsia="仿宋" w:cs="仿宋"/>
                <w:color w:val="auto"/>
                <w:sz w:val="20"/>
                <w:highlight w:val="none"/>
                <w:lang w:val="en-US" w:eastAsia="zh-CN"/>
              </w:rPr>
              <w:t>6</w:t>
            </w:r>
          </w:p>
        </w:tc>
        <w:tc>
          <w:tcPr>
            <w:tcW w:w="7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B22A51">
            <w:pPr>
              <w:spacing w:line="240" w:lineRule="exact"/>
              <w:jc w:val="center"/>
              <w:textAlignment w:val="center"/>
              <w:rPr>
                <w:rFonts w:hint="default" w:ascii="仿宋" w:hAnsi="仿宋" w:eastAsia="仿宋" w:cs="仿宋"/>
                <w:color w:val="auto"/>
                <w:sz w:val="20"/>
                <w:highlight w:val="none"/>
                <w:lang w:val="en-US" w:eastAsia="zh-CN"/>
              </w:rPr>
            </w:pPr>
            <w:r>
              <w:rPr>
                <w:rFonts w:hint="eastAsia" w:ascii="仿宋" w:hAnsi="仿宋" w:eastAsia="仿宋" w:cs="仿宋"/>
                <w:color w:val="auto"/>
                <w:sz w:val="20"/>
                <w:highlight w:val="none"/>
                <w:lang w:val="en-US" w:eastAsia="zh-CN"/>
              </w:rPr>
              <w:t>45</w:t>
            </w:r>
          </w:p>
        </w:tc>
        <w:tc>
          <w:tcPr>
            <w:tcW w:w="7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97C78E">
            <w:pPr>
              <w:spacing w:line="240" w:lineRule="exact"/>
              <w:jc w:val="center"/>
              <w:textAlignment w:val="center"/>
              <w:rPr>
                <w:rFonts w:hint="default" w:ascii="仿宋" w:hAnsi="仿宋" w:eastAsia="仿宋" w:cs="仿宋"/>
                <w:color w:val="auto"/>
                <w:sz w:val="20"/>
                <w:highlight w:val="none"/>
                <w:lang w:val="en-US" w:eastAsia="zh-CN"/>
              </w:rPr>
            </w:pPr>
            <w:r>
              <w:rPr>
                <w:rFonts w:hint="eastAsia" w:ascii="仿宋" w:hAnsi="仿宋" w:eastAsia="仿宋" w:cs="仿宋"/>
                <w:color w:val="auto"/>
                <w:sz w:val="20"/>
                <w:highlight w:val="none"/>
                <w:lang w:val="en-US" w:eastAsia="zh-CN"/>
              </w:rPr>
              <w:t>24</w:t>
            </w:r>
          </w:p>
        </w:tc>
        <w:tc>
          <w:tcPr>
            <w:tcW w:w="7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0A6728">
            <w:pPr>
              <w:spacing w:line="240" w:lineRule="exact"/>
              <w:jc w:val="center"/>
              <w:textAlignment w:val="center"/>
              <w:rPr>
                <w:rFonts w:hint="default" w:ascii="仿宋" w:hAnsi="仿宋" w:eastAsia="仿宋" w:cs="仿宋"/>
                <w:color w:val="auto"/>
                <w:sz w:val="20"/>
                <w:highlight w:val="none"/>
                <w:lang w:val="en-US" w:eastAsia="zh-CN"/>
              </w:rPr>
            </w:pPr>
            <w:r>
              <w:rPr>
                <w:rFonts w:hint="eastAsia" w:ascii="仿宋" w:hAnsi="仿宋" w:eastAsia="仿宋" w:cs="仿宋"/>
                <w:color w:val="auto"/>
                <w:sz w:val="20"/>
                <w:highlight w:val="none"/>
                <w:lang w:val="en-US" w:eastAsia="zh-CN"/>
              </w:rPr>
              <w:t>21</w:t>
            </w:r>
          </w:p>
        </w:tc>
        <w:tc>
          <w:tcPr>
            <w:tcW w:w="7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94803E">
            <w:pPr>
              <w:spacing w:line="240" w:lineRule="exact"/>
              <w:jc w:val="center"/>
              <w:textAlignment w:val="center"/>
              <w:rPr>
                <w:rFonts w:hint="eastAsia" w:ascii="仿宋" w:hAnsi="仿宋" w:eastAsia="仿宋" w:cs="仿宋"/>
                <w:color w:val="auto"/>
                <w:sz w:val="20"/>
                <w:highlight w:val="none"/>
                <w:lang w:eastAsia="zh-CN"/>
              </w:rPr>
            </w:pPr>
            <w:r>
              <w:rPr>
                <w:rFonts w:hint="eastAsia" w:ascii="仿宋" w:hAnsi="仿宋" w:eastAsia="仿宋" w:cs="仿宋"/>
                <w:color w:val="auto"/>
                <w:sz w:val="20"/>
                <w:highlight w:val="none"/>
                <w:lang w:val="en-US" w:eastAsia="zh-CN"/>
              </w:rPr>
              <w:t>4</w:t>
            </w:r>
          </w:p>
        </w:tc>
        <w:tc>
          <w:tcPr>
            <w:tcW w:w="71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099C5D">
            <w:pPr>
              <w:spacing w:line="24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100</w:t>
            </w:r>
          </w:p>
        </w:tc>
      </w:tr>
      <w:tr w14:paraId="25986A28">
        <w:tblPrEx>
          <w:tblCellMar>
            <w:top w:w="0" w:type="dxa"/>
            <w:left w:w="0" w:type="dxa"/>
            <w:bottom w:w="0" w:type="dxa"/>
            <w:right w:w="0" w:type="dxa"/>
          </w:tblCellMar>
        </w:tblPrEx>
        <w:trPr>
          <w:trHeight w:val="567" w:hRule="exact"/>
        </w:trPr>
        <w:tc>
          <w:tcPr>
            <w:tcW w:w="7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F8F422">
            <w:pPr>
              <w:spacing w:line="240" w:lineRule="exact"/>
              <w:jc w:val="center"/>
              <w:textAlignment w:val="center"/>
              <w:rPr>
                <w:rFonts w:ascii="仿宋" w:hAnsi="仿宋" w:eastAsia="仿宋" w:cs="仿宋"/>
                <w:b/>
                <w:bCs/>
                <w:color w:val="auto"/>
                <w:sz w:val="20"/>
                <w:highlight w:val="none"/>
              </w:rPr>
            </w:pPr>
            <w:r>
              <w:rPr>
                <w:rFonts w:hint="eastAsia" w:ascii="仿宋" w:hAnsi="仿宋" w:eastAsia="仿宋" w:cs="仿宋"/>
                <w:b/>
                <w:bCs/>
                <w:color w:val="auto"/>
                <w:sz w:val="20"/>
                <w:highlight w:val="none"/>
              </w:rPr>
              <w:t>评价得分</w:t>
            </w:r>
          </w:p>
        </w:tc>
        <w:tc>
          <w:tcPr>
            <w:tcW w:w="7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3AAA54">
            <w:pPr>
              <w:spacing w:line="240" w:lineRule="exact"/>
              <w:jc w:val="center"/>
              <w:textAlignment w:val="center"/>
              <w:rPr>
                <w:rFonts w:hint="eastAsia" w:ascii="仿宋" w:hAnsi="仿宋" w:eastAsia="仿宋" w:cs="仿宋"/>
                <w:b/>
                <w:bCs/>
                <w:color w:val="auto"/>
                <w:sz w:val="20"/>
                <w:highlight w:val="none"/>
                <w:lang w:eastAsia="zh-CN"/>
              </w:rPr>
            </w:pPr>
            <w:r>
              <w:rPr>
                <w:rFonts w:hint="eastAsia" w:ascii="仿宋" w:hAnsi="仿宋" w:eastAsia="仿宋" w:cs="仿宋"/>
                <w:b/>
                <w:bCs/>
                <w:color w:val="auto"/>
                <w:sz w:val="20"/>
                <w:highlight w:val="none"/>
                <w:lang w:val="en-US" w:eastAsia="zh-CN"/>
              </w:rPr>
              <w:t>6</w:t>
            </w:r>
          </w:p>
        </w:tc>
        <w:tc>
          <w:tcPr>
            <w:tcW w:w="7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023687">
            <w:pPr>
              <w:spacing w:line="240" w:lineRule="exact"/>
              <w:jc w:val="center"/>
              <w:textAlignment w:val="center"/>
              <w:rPr>
                <w:rFonts w:hint="default" w:ascii="仿宋" w:hAnsi="仿宋" w:eastAsia="仿宋" w:cs="仿宋"/>
                <w:b/>
                <w:bCs/>
                <w:color w:val="auto"/>
                <w:sz w:val="20"/>
                <w:highlight w:val="none"/>
                <w:lang w:val="en-US" w:eastAsia="zh-CN"/>
              </w:rPr>
            </w:pPr>
            <w:r>
              <w:rPr>
                <w:rFonts w:hint="eastAsia" w:ascii="仿宋" w:hAnsi="仿宋" w:eastAsia="仿宋" w:cs="仿宋"/>
                <w:b/>
                <w:bCs/>
                <w:color w:val="auto"/>
                <w:sz w:val="20"/>
                <w:highlight w:val="none"/>
                <w:lang w:val="en-US" w:eastAsia="zh-CN"/>
              </w:rPr>
              <w:t>44</w:t>
            </w:r>
          </w:p>
        </w:tc>
        <w:tc>
          <w:tcPr>
            <w:tcW w:w="7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216107">
            <w:pPr>
              <w:spacing w:line="240" w:lineRule="exact"/>
              <w:jc w:val="center"/>
              <w:textAlignment w:val="center"/>
              <w:rPr>
                <w:rFonts w:hint="default" w:ascii="仿宋" w:hAnsi="仿宋" w:eastAsia="仿宋" w:cs="仿宋"/>
                <w:b/>
                <w:bCs/>
                <w:color w:val="auto"/>
                <w:sz w:val="20"/>
                <w:highlight w:val="none"/>
                <w:lang w:val="en-US" w:eastAsia="zh-CN"/>
              </w:rPr>
            </w:pPr>
            <w:r>
              <w:rPr>
                <w:rFonts w:hint="eastAsia" w:ascii="仿宋" w:hAnsi="仿宋" w:eastAsia="仿宋" w:cs="仿宋"/>
                <w:b/>
                <w:bCs/>
                <w:color w:val="auto"/>
                <w:sz w:val="20"/>
                <w:highlight w:val="none"/>
                <w:lang w:val="en-US" w:eastAsia="zh-CN"/>
              </w:rPr>
              <w:t>24</w:t>
            </w:r>
          </w:p>
        </w:tc>
        <w:tc>
          <w:tcPr>
            <w:tcW w:w="7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6BE396">
            <w:pPr>
              <w:spacing w:line="240" w:lineRule="exact"/>
              <w:jc w:val="center"/>
              <w:textAlignment w:val="center"/>
              <w:rPr>
                <w:rFonts w:hint="default" w:ascii="仿宋" w:hAnsi="仿宋" w:eastAsia="仿宋" w:cs="仿宋"/>
                <w:b/>
                <w:bCs/>
                <w:color w:val="auto"/>
                <w:sz w:val="20"/>
                <w:highlight w:val="none"/>
                <w:lang w:val="en-US" w:eastAsia="zh-CN"/>
              </w:rPr>
            </w:pPr>
            <w:r>
              <w:rPr>
                <w:rFonts w:hint="eastAsia" w:ascii="仿宋" w:hAnsi="仿宋" w:eastAsia="仿宋" w:cs="仿宋"/>
                <w:b/>
                <w:bCs/>
                <w:color w:val="auto"/>
                <w:sz w:val="20"/>
                <w:highlight w:val="none"/>
                <w:lang w:val="en-US" w:eastAsia="zh-CN"/>
              </w:rPr>
              <w:t>21</w:t>
            </w:r>
          </w:p>
        </w:tc>
        <w:tc>
          <w:tcPr>
            <w:tcW w:w="71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0295E1">
            <w:pPr>
              <w:spacing w:line="240" w:lineRule="exact"/>
              <w:jc w:val="center"/>
              <w:textAlignment w:val="center"/>
              <w:rPr>
                <w:rFonts w:hint="eastAsia" w:ascii="仿宋" w:hAnsi="仿宋" w:eastAsia="仿宋" w:cs="仿宋"/>
                <w:b/>
                <w:bCs/>
                <w:color w:val="auto"/>
                <w:sz w:val="20"/>
                <w:highlight w:val="none"/>
                <w:lang w:eastAsia="zh-CN"/>
              </w:rPr>
            </w:pPr>
            <w:r>
              <w:rPr>
                <w:rFonts w:hint="eastAsia" w:ascii="仿宋" w:hAnsi="仿宋" w:eastAsia="仿宋" w:cs="仿宋"/>
                <w:b/>
                <w:bCs/>
                <w:color w:val="auto"/>
                <w:sz w:val="20"/>
                <w:highlight w:val="none"/>
                <w:lang w:val="en-US" w:eastAsia="zh-CN"/>
              </w:rPr>
              <w:t>4</w:t>
            </w:r>
          </w:p>
        </w:tc>
        <w:tc>
          <w:tcPr>
            <w:tcW w:w="71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6101DC">
            <w:pPr>
              <w:spacing w:line="240" w:lineRule="exact"/>
              <w:jc w:val="center"/>
              <w:textAlignment w:val="center"/>
              <w:rPr>
                <w:rFonts w:hint="default" w:ascii="仿宋" w:hAnsi="仿宋" w:eastAsia="仿宋" w:cs="仿宋"/>
                <w:b/>
                <w:bCs/>
                <w:color w:val="auto"/>
                <w:sz w:val="20"/>
                <w:highlight w:val="none"/>
                <w:lang w:val="en-US" w:eastAsia="zh-CN"/>
              </w:rPr>
            </w:pPr>
            <w:r>
              <w:rPr>
                <w:rFonts w:hint="eastAsia" w:ascii="仿宋" w:hAnsi="仿宋" w:eastAsia="仿宋" w:cs="仿宋"/>
                <w:b/>
                <w:bCs/>
                <w:color w:val="auto"/>
                <w:sz w:val="20"/>
                <w:highlight w:val="none"/>
                <w:lang w:val="en-US" w:eastAsia="zh-CN"/>
              </w:rPr>
              <w:t>99</w:t>
            </w:r>
          </w:p>
        </w:tc>
      </w:tr>
    </w:tbl>
    <w:p w14:paraId="245C439A">
      <w:pPr>
        <w:widowControl w:val="0"/>
        <w:tabs>
          <w:tab w:val="left" w:pos="624"/>
          <w:tab w:val="left" w:pos="669"/>
        </w:tabs>
        <w:overflowPunct/>
        <w:autoSpaceDE/>
        <w:autoSpaceDN/>
        <w:adjustRightInd/>
        <w:spacing w:line="560" w:lineRule="exact"/>
        <w:ind w:firstLine="632" w:firstLineChars="200"/>
        <w:textAlignment w:val="auto"/>
        <w:outlineLvl w:val="0"/>
        <w:rPr>
          <w:rFonts w:hint="eastAsia" w:ascii="黑体" w:hAnsi="黑体" w:eastAsia="黑体" w:cs="黑体"/>
          <w:color w:val="auto"/>
          <w:szCs w:val="32"/>
          <w:highlight w:val="none"/>
          <w:lang w:eastAsia="zh-CN"/>
        </w:rPr>
      </w:pPr>
      <w:bookmarkStart w:id="17" w:name="_Toc10535"/>
      <w:r>
        <w:rPr>
          <w:rFonts w:hint="eastAsia" w:ascii="黑体" w:hAnsi="黑体" w:eastAsia="黑体" w:cs="黑体"/>
          <w:color w:val="auto"/>
          <w:szCs w:val="32"/>
          <w:highlight w:val="none"/>
        </w:rPr>
        <w:t>三、部门履职成效</w:t>
      </w:r>
    </w:p>
    <w:p w14:paraId="1DD413FD">
      <w:pPr>
        <w:pStyle w:val="34"/>
        <w:spacing w:line="500" w:lineRule="exact"/>
        <w:ind w:firstLine="632" w:firstLineChars="200"/>
        <w:rPr>
          <w:rFonts w:hint="eastAsia" w:ascii="方正仿宋_GBK" w:hAnsi="Times New Roman" w:eastAsia="方正仿宋_GBK" w:cs="Times New Roman"/>
          <w:b/>
          <w:bCs/>
          <w:sz w:val="32"/>
          <w:szCs w:val="32"/>
        </w:rPr>
      </w:pPr>
      <w:r>
        <w:rPr>
          <w:rFonts w:hint="eastAsia" w:ascii="方正仿宋_GBK" w:hAnsi="Times New Roman" w:eastAsia="方正仿宋_GBK" w:cs="Times New Roman"/>
          <w:b/>
          <w:bCs/>
          <w:sz w:val="32"/>
          <w:szCs w:val="32"/>
          <w:lang w:eastAsia="zh-CN"/>
        </w:rPr>
        <w:t>（一）</w:t>
      </w:r>
      <w:r>
        <w:rPr>
          <w:rFonts w:hint="eastAsia" w:ascii="方正仿宋_GBK" w:hAnsi="Times New Roman" w:eastAsia="方正仿宋_GBK" w:cs="Times New Roman"/>
          <w:b/>
          <w:bCs/>
          <w:sz w:val="32"/>
          <w:szCs w:val="32"/>
        </w:rPr>
        <w:t>严守安全底线，保障行业安全</w:t>
      </w:r>
    </w:p>
    <w:p w14:paraId="51FDC6EA">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坚决贯彻落实习近平总书记关于安全生产重要论述和重要指示批示精神，</w:t>
      </w:r>
      <w:r>
        <w:rPr>
          <w:rFonts w:hint="eastAsia" w:eastAsia="方正仿宋_GBK" w:cs="Times New Roman"/>
          <w:b w:val="0"/>
          <w:bCs w:val="0"/>
          <w:sz w:val="32"/>
          <w:szCs w:val="32"/>
          <w:lang w:eastAsia="zh-CN"/>
        </w:rPr>
        <w:t>通过</w:t>
      </w:r>
      <w:r>
        <w:rPr>
          <w:rFonts w:hint="eastAsia" w:ascii="Times New Roman" w:hAnsi="Times New Roman" w:eastAsia="方正仿宋_GBK" w:cs="Times New Roman"/>
          <w:b w:val="0"/>
          <w:bCs w:val="0"/>
          <w:sz w:val="32"/>
          <w:szCs w:val="32"/>
        </w:rPr>
        <w:t>召开党组会</w:t>
      </w:r>
      <w:r>
        <w:rPr>
          <w:rFonts w:hint="eastAsia" w:eastAsia="方正仿宋_GBK" w:cs="Times New Roman"/>
          <w:b w:val="0"/>
          <w:bCs w:val="0"/>
          <w:sz w:val="32"/>
          <w:szCs w:val="32"/>
          <w:lang w:eastAsia="zh-CN"/>
        </w:rPr>
        <w:t>、</w:t>
      </w:r>
      <w:r>
        <w:rPr>
          <w:rFonts w:hint="eastAsia" w:ascii="Times New Roman" w:hAnsi="Times New Roman" w:eastAsia="方正仿宋_GBK" w:cs="Times New Roman"/>
          <w:b w:val="0"/>
          <w:bCs w:val="0"/>
          <w:sz w:val="32"/>
          <w:szCs w:val="32"/>
        </w:rPr>
        <w:t>中心组学习会</w:t>
      </w:r>
      <w:r>
        <w:rPr>
          <w:rFonts w:hint="eastAsia" w:eastAsia="方正仿宋_GBK" w:cs="Times New Roman"/>
          <w:b w:val="0"/>
          <w:bCs w:val="0"/>
          <w:sz w:val="32"/>
          <w:szCs w:val="32"/>
          <w:lang w:eastAsia="zh-CN"/>
        </w:rPr>
        <w:t>、</w:t>
      </w:r>
      <w:r>
        <w:rPr>
          <w:rFonts w:hint="eastAsia" w:ascii="Times New Roman" w:hAnsi="Times New Roman" w:eastAsia="方正仿宋_GBK" w:cs="Times New Roman"/>
          <w:b w:val="0"/>
          <w:bCs w:val="0"/>
          <w:sz w:val="32"/>
          <w:szCs w:val="32"/>
        </w:rPr>
        <w:t>局长办公会</w:t>
      </w:r>
      <w:r>
        <w:rPr>
          <w:rFonts w:hint="eastAsia" w:eastAsia="方正仿宋_GBK" w:cs="Times New Roman"/>
          <w:b w:val="0"/>
          <w:bCs w:val="0"/>
          <w:sz w:val="32"/>
          <w:szCs w:val="32"/>
          <w:lang w:eastAsia="zh-CN"/>
        </w:rPr>
        <w:t>、</w:t>
      </w:r>
      <w:r>
        <w:rPr>
          <w:rFonts w:hint="eastAsia" w:ascii="Times New Roman" w:hAnsi="Times New Roman" w:eastAsia="方正仿宋_GBK" w:cs="Times New Roman"/>
          <w:b w:val="0"/>
          <w:bCs w:val="0"/>
          <w:sz w:val="32"/>
          <w:szCs w:val="32"/>
        </w:rPr>
        <w:t>局务会</w:t>
      </w:r>
      <w:r>
        <w:rPr>
          <w:rFonts w:hint="eastAsia" w:eastAsia="方正仿宋_GBK" w:cs="Times New Roman"/>
          <w:b w:val="0"/>
          <w:bCs w:val="0"/>
          <w:sz w:val="32"/>
          <w:szCs w:val="32"/>
          <w:lang w:eastAsia="zh-CN"/>
        </w:rPr>
        <w:t>、</w:t>
      </w:r>
      <w:r>
        <w:rPr>
          <w:rFonts w:hint="eastAsia" w:ascii="Times New Roman" w:hAnsi="Times New Roman" w:eastAsia="方正仿宋_GBK" w:cs="Times New Roman"/>
          <w:b w:val="0"/>
          <w:bCs w:val="0"/>
          <w:sz w:val="32"/>
          <w:szCs w:val="32"/>
        </w:rPr>
        <w:t>专题会</w:t>
      </w:r>
      <w:r>
        <w:rPr>
          <w:rFonts w:hint="eastAsia" w:eastAsia="方正仿宋_GBK" w:cs="Times New Roman"/>
          <w:b w:val="0"/>
          <w:bCs w:val="0"/>
          <w:sz w:val="32"/>
          <w:szCs w:val="32"/>
          <w:lang w:eastAsia="zh-CN"/>
        </w:rPr>
        <w:t>等</w:t>
      </w:r>
      <w:r>
        <w:rPr>
          <w:rFonts w:hint="eastAsia" w:ascii="Times New Roman" w:hAnsi="Times New Roman" w:eastAsia="方正仿宋_GBK" w:cs="Times New Roman"/>
          <w:b w:val="0"/>
          <w:bCs w:val="0"/>
          <w:sz w:val="32"/>
          <w:szCs w:val="32"/>
        </w:rPr>
        <w:t>，第一时间传达学习贯彻习近平总书记关于安全生产最新重要讲话和指示批示精神，省、市安全生产会议和文件精神，研究部署园林绿化、森林防火安全生产专项整治</w:t>
      </w:r>
      <w:r>
        <w:rPr>
          <w:rFonts w:hint="eastAsia" w:eastAsia="方正仿宋_GBK" w:cs="Times New Roman"/>
          <w:b w:val="0"/>
          <w:bCs w:val="0"/>
          <w:sz w:val="32"/>
          <w:szCs w:val="32"/>
          <w:lang w:eastAsia="zh-CN"/>
        </w:rPr>
        <w:t>工作</w:t>
      </w:r>
      <w:r>
        <w:rPr>
          <w:rFonts w:hint="eastAsia" w:ascii="Times New Roman" w:hAnsi="Times New Roman" w:eastAsia="方正仿宋_GBK" w:cs="Times New Roman"/>
          <w:b w:val="0"/>
          <w:bCs w:val="0"/>
          <w:sz w:val="32"/>
          <w:szCs w:val="32"/>
        </w:rPr>
        <w:t>。制定局安全生产治本攻坚三年行动实施方案和绿化园林消防安全集中除患攻坚大整治行动方案。组织开展绿化园林安全生产月活动。积极做好森林防火、扫雪防冻以及防汛抗旱、行道树消险等工作。认真开展公园内凉亭、房屋等公共服务设施防雷安全检查，及时排除安全隐患。年内安全生产形势总体平稳有序。</w:t>
      </w:r>
    </w:p>
    <w:p w14:paraId="549199FA">
      <w:pPr>
        <w:pStyle w:val="34"/>
        <w:spacing w:line="500" w:lineRule="exact"/>
        <w:ind w:firstLine="632" w:firstLineChars="200"/>
        <w:rPr>
          <w:rFonts w:hint="eastAsia" w:ascii="方正仿宋_GBK" w:hAnsi="Times New Roman" w:eastAsia="方正仿宋_GBK" w:cs="Times New Roman"/>
          <w:b/>
          <w:bCs/>
          <w:sz w:val="32"/>
          <w:szCs w:val="32"/>
        </w:rPr>
      </w:pPr>
      <w:r>
        <w:rPr>
          <w:rFonts w:hint="eastAsia" w:ascii="方正仿宋_GBK" w:hAnsi="Times New Roman" w:eastAsia="方正仿宋_GBK" w:cs="Times New Roman"/>
          <w:b/>
          <w:bCs/>
          <w:sz w:val="32"/>
          <w:szCs w:val="32"/>
          <w:lang w:eastAsia="zh-CN"/>
        </w:rPr>
        <w:t>（二）</w:t>
      </w:r>
      <w:r>
        <w:rPr>
          <w:rFonts w:hint="eastAsia" w:ascii="方正仿宋_GBK" w:hAnsi="Times New Roman" w:eastAsia="方正仿宋_GBK" w:cs="Times New Roman"/>
          <w:b/>
          <w:bCs/>
          <w:sz w:val="32"/>
          <w:szCs w:val="32"/>
        </w:rPr>
        <w:t>聚焦民生需求，提升园林品质</w:t>
      </w:r>
    </w:p>
    <w:p w14:paraId="096D03DD">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1.</w:t>
      </w:r>
      <w:r>
        <w:rPr>
          <w:rFonts w:hint="eastAsia" w:ascii="Times New Roman" w:hAnsi="Times New Roman" w:eastAsia="方正仿宋_GBK" w:cs="Times New Roman"/>
          <w:b w:val="0"/>
          <w:bCs w:val="0"/>
          <w:sz w:val="32"/>
          <w:szCs w:val="32"/>
        </w:rPr>
        <w:t>开展绿化园林规划修编。印发《南京市公园绿地适老化建设指引（试行）》。推进《南京市绿地系统规划》修编。完善“绿色图章”管理制度，修订印发《南京市“绿色图章”管理制度实施细则》，为建设工程附属绿化工程项目绿化方案审查提供科学依据。</w:t>
      </w:r>
    </w:p>
    <w:p w14:paraId="00CF87F8">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2.</w:t>
      </w:r>
      <w:r>
        <w:rPr>
          <w:rFonts w:hint="eastAsia" w:ascii="Times New Roman" w:hAnsi="Times New Roman" w:eastAsia="方正仿宋_GBK" w:cs="Times New Roman"/>
          <w:b w:val="0"/>
          <w:bCs w:val="0"/>
          <w:sz w:val="32"/>
          <w:szCs w:val="32"/>
        </w:rPr>
        <w:t>加强口袋公园和儿童友好公园建设。新改建莲花北苑西侧口袋公园等</w:t>
      </w:r>
      <w:r>
        <w:rPr>
          <w:rFonts w:ascii="Times New Roman" w:hAnsi="Times New Roman" w:eastAsia="方正仿宋_GBK" w:cs="Times New Roman"/>
          <w:b w:val="0"/>
          <w:bCs w:val="0"/>
          <w:sz w:val="32"/>
          <w:szCs w:val="32"/>
        </w:rPr>
        <w:t>18</w:t>
      </w:r>
      <w:r>
        <w:rPr>
          <w:rFonts w:hint="eastAsia" w:ascii="Times New Roman" w:hAnsi="Times New Roman" w:eastAsia="方正仿宋_GBK" w:cs="Times New Roman"/>
          <w:b w:val="0"/>
          <w:bCs w:val="0"/>
          <w:sz w:val="32"/>
          <w:szCs w:val="32"/>
        </w:rPr>
        <w:t>处口袋公园，超额完成</w:t>
      </w:r>
      <w:r>
        <w:rPr>
          <w:rFonts w:ascii="Times New Roman" w:hAnsi="Times New Roman" w:eastAsia="方正仿宋_GBK" w:cs="Times New Roman"/>
          <w:b w:val="0"/>
          <w:bCs w:val="0"/>
          <w:sz w:val="32"/>
          <w:szCs w:val="32"/>
        </w:rPr>
        <w:t>6</w:t>
      </w:r>
      <w:r>
        <w:rPr>
          <w:rFonts w:hint="eastAsia" w:ascii="Times New Roman" w:hAnsi="Times New Roman" w:eastAsia="方正仿宋_GBK" w:cs="Times New Roman"/>
          <w:b w:val="0"/>
          <w:bCs w:val="0"/>
          <w:sz w:val="32"/>
          <w:szCs w:val="32"/>
        </w:rPr>
        <w:t>处省民生实事“乐享园林”活力空间建设任务，建设绿道</w:t>
      </w:r>
      <w:r>
        <w:rPr>
          <w:rFonts w:ascii="Times New Roman" w:hAnsi="Times New Roman" w:eastAsia="方正仿宋_GBK" w:cs="Times New Roman"/>
          <w:b w:val="0"/>
          <w:bCs w:val="0"/>
          <w:sz w:val="32"/>
          <w:szCs w:val="32"/>
        </w:rPr>
        <w:t>7</w:t>
      </w:r>
      <w:r>
        <w:rPr>
          <w:rFonts w:hint="eastAsia" w:ascii="Times New Roman" w:hAnsi="Times New Roman" w:eastAsia="方正仿宋_GBK" w:cs="Times New Roman"/>
          <w:b w:val="0"/>
          <w:bCs w:val="0"/>
          <w:sz w:val="32"/>
          <w:szCs w:val="32"/>
        </w:rPr>
        <w:t>公里。启动我市儿童友好公园建设，出台《南京市儿童友好公园建设导则》，完成</w:t>
      </w:r>
      <w:r>
        <w:rPr>
          <w:rFonts w:ascii="Times New Roman" w:hAnsi="Times New Roman" w:eastAsia="方正仿宋_GBK" w:cs="Times New Roman"/>
          <w:b w:val="0"/>
          <w:bCs w:val="0"/>
          <w:sz w:val="32"/>
          <w:szCs w:val="32"/>
        </w:rPr>
        <w:t>80</w:t>
      </w:r>
      <w:r>
        <w:rPr>
          <w:rFonts w:hint="eastAsia" w:ascii="Times New Roman" w:hAnsi="Times New Roman" w:eastAsia="方正仿宋_GBK" w:cs="Times New Roman"/>
          <w:b w:val="0"/>
          <w:bCs w:val="0"/>
          <w:sz w:val="32"/>
          <w:szCs w:val="32"/>
        </w:rPr>
        <w:t>处儿童友好公园评价认定工作，</w:t>
      </w:r>
      <w:r>
        <w:rPr>
          <w:rFonts w:hint="eastAsia" w:eastAsia="方正仿宋_GBK" w:cs="Times New Roman"/>
          <w:b w:val="0"/>
          <w:bCs w:val="0"/>
          <w:sz w:val="32"/>
          <w:szCs w:val="32"/>
          <w:lang w:eastAsia="zh-CN"/>
        </w:rPr>
        <w:t>江宁区竹新路口袋公园所处的竹蜻蜓儿童友好街区</w:t>
      </w:r>
      <w:r>
        <w:rPr>
          <w:rFonts w:hint="eastAsia" w:ascii="Times New Roman" w:hAnsi="Times New Roman" w:eastAsia="方正仿宋_GBK" w:cs="Times New Roman"/>
          <w:b w:val="0"/>
          <w:bCs w:val="0"/>
          <w:sz w:val="32"/>
          <w:szCs w:val="32"/>
        </w:rPr>
        <w:t>入选全国首批城市儿童友好空间建设可复制经验清单。</w:t>
      </w:r>
      <w:r>
        <w:rPr>
          <w:rFonts w:ascii="Times New Roman" w:hAnsi="Times New Roman" w:eastAsia="方正仿宋_GBK" w:cs="Times New Roman"/>
          <w:b w:val="0"/>
          <w:bCs w:val="0"/>
          <w:sz w:val="32"/>
          <w:szCs w:val="32"/>
        </w:rPr>
        <w:t xml:space="preserve"> </w:t>
      </w:r>
    </w:p>
    <w:p w14:paraId="34837156">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3.</w:t>
      </w:r>
      <w:r>
        <w:rPr>
          <w:rFonts w:hint="eastAsia" w:ascii="Times New Roman" w:hAnsi="Times New Roman" w:eastAsia="方正仿宋_GBK" w:cs="Times New Roman"/>
          <w:b w:val="0"/>
          <w:bCs w:val="0"/>
          <w:sz w:val="32"/>
          <w:szCs w:val="32"/>
        </w:rPr>
        <w:t>推进城市“公园</w:t>
      </w:r>
      <w:r>
        <w:rPr>
          <w:rFonts w:ascii="Times New Roman" w:hAnsi="Times New Roman" w:eastAsia="方正仿宋_GBK" w:cs="Times New Roman"/>
          <w:b w:val="0"/>
          <w:bCs w:val="0"/>
          <w:sz w:val="32"/>
          <w:szCs w:val="32"/>
        </w:rPr>
        <w:t>+</w:t>
      </w:r>
      <w:r>
        <w:rPr>
          <w:rFonts w:hint="eastAsia" w:ascii="Times New Roman" w:hAnsi="Times New Roman" w:eastAsia="方正仿宋_GBK" w:cs="Times New Roman"/>
          <w:b w:val="0"/>
          <w:bCs w:val="0"/>
          <w:sz w:val="32"/>
          <w:szCs w:val="32"/>
        </w:rPr>
        <w:t>”实践。指导各公园加强绿化养护管理。做好文化建园，开展各类园事花事活动。配合开展“江苏公园生活季”</w:t>
      </w:r>
      <w:r>
        <w:rPr>
          <w:rFonts w:ascii="Times New Roman" w:hAnsi="Times New Roman" w:eastAsia="方正仿宋_GBK" w:cs="Times New Roman"/>
          <w:b w:val="0"/>
          <w:bCs w:val="0"/>
          <w:sz w:val="32"/>
          <w:szCs w:val="32"/>
        </w:rPr>
        <w:t>2024</w:t>
      </w:r>
      <w:r>
        <w:rPr>
          <w:rFonts w:hint="eastAsia" w:ascii="Times New Roman" w:hAnsi="Times New Roman" w:eastAsia="方正仿宋_GBK" w:cs="Times New Roman"/>
          <w:b w:val="0"/>
          <w:bCs w:val="0"/>
          <w:sz w:val="32"/>
          <w:szCs w:val="32"/>
        </w:rPr>
        <w:t>秋季活动。积极推进城市公园绿地开放共享试点，开放共享约</w:t>
      </w:r>
      <w:r>
        <w:rPr>
          <w:rFonts w:ascii="Times New Roman" w:hAnsi="Times New Roman" w:eastAsia="方正仿宋_GBK" w:cs="Times New Roman"/>
          <w:b w:val="0"/>
          <w:bCs w:val="0"/>
          <w:sz w:val="32"/>
          <w:szCs w:val="32"/>
        </w:rPr>
        <w:t>226.46</w:t>
      </w:r>
      <w:r>
        <w:rPr>
          <w:rFonts w:hint="eastAsia" w:ascii="Times New Roman" w:hAnsi="Times New Roman" w:eastAsia="方正仿宋_GBK" w:cs="Times New Roman"/>
          <w:b w:val="0"/>
          <w:bCs w:val="0"/>
          <w:sz w:val="32"/>
          <w:szCs w:val="32"/>
        </w:rPr>
        <w:t>万平方米绿地。推进嵌入式篮球、羽毛球、足球场地和“国球进公园”等设施建设。</w:t>
      </w:r>
    </w:p>
    <w:p w14:paraId="0ECFA143">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4.</w:t>
      </w:r>
      <w:r>
        <w:rPr>
          <w:rFonts w:hint="eastAsia" w:ascii="Times New Roman" w:hAnsi="Times New Roman" w:eastAsia="方正仿宋_GBK" w:cs="Times New Roman"/>
          <w:b w:val="0"/>
          <w:bCs w:val="0"/>
          <w:sz w:val="32"/>
          <w:szCs w:val="32"/>
        </w:rPr>
        <w:t>加强城市绿化精细</w:t>
      </w:r>
      <w:r>
        <w:rPr>
          <w:rFonts w:hint="eastAsia" w:eastAsia="方正仿宋_GBK" w:cs="Times New Roman"/>
          <w:b w:val="0"/>
          <w:bCs w:val="0"/>
          <w:sz w:val="32"/>
          <w:szCs w:val="32"/>
          <w:lang w:eastAsia="zh-CN"/>
        </w:rPr>
        <w:t>化</w:t>
      </w:r>
      <w:r>
        <w:rPr>
          <w:rFonts w:hint="eastAsia" w:ascii="Times New Roman" w:hAnsi="Times New Roman" w:eastAsia="方正仿宋_GBK" w:cs="Times New Roman"/>
          <w:b w:val="0"/>
          <w:bCs w:val="0"/>
          <w:sz w:val="32"/>
          <w:szCs w:val="32"/>
        </w:rPr>
        <w:t>管理。指导各区做好城市绿化精细化管养。积极推进节俭绿化，落实时令草花“三减”要求，减少草花种植面积、减少更换频次、减少高档花卉使用。</w:t>
      </w:r>
    </w:p>
    <w:p w14:paraId="25A36E37">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5.</w:t>
      </w:r>
      <w:r>
        <w:rPr>
          <w:rFonts w:hint="eastAsia" w:ascii="Times New Roman" w:hAnsi="Times New Roman" w:eastAsia="方正仿宋_GBK" w:cs="Times New Roman"/>
          <w:b w:val="0"/>
          <w:bCs w:val="0"/>
          <w:sz w:val="32"/>
          <w:szCs w:val="32"/>
        </w:rPr>
        <w:t>强化行道树保护管理。持续深化法桐行道树有机更新研究，印发《南京市悬铃木行道树保护和有机更新技术导则（试行）》，编制</w:t>
      </w:r>
      <w:r>
        <w:rPr>
          <w:rFonts w:ascii="Times New Roman" w:hAnsi="Times New Roman" w:eastAsia="方正仿宋_GBK" w:cs="Times New Roman"/>
          <w:b w:val="0"/>
          <w:bCs w:val="0"/>
          <w:sz w:val="32"/>
          <w:szCs w:val="32"/>
        </w:rPr>
        <w:t>2023</w:t>
      </w:r>
      <w:r>
        <w:rPr>
          <w:rFonts w:hint="eastAsia" w:ascii="Times New Roman" w:hAnsi="Times New Roman" w:eastAsia="方正仿宋_GBK" w:cs="Times New Roman"/>
          <w:b w:val="0"/>
          <w:bCs w:val="0"/>
          <w:sz w:val="32"/>
          <w:szCs w:val="32"/>
        </w:rPr>
        <w:t>年《南京市悬铃木行道树白皮书》。常态化开展法桐行道树消险修剪。采用“吹冲扫”作业模式开展法桐行道树飘絮防治，继续开展法桐飘絮预报服务，启动杨树飘絮预测预报研究。</w:t>
      </w:r>
    </w:p>
    <w:p w14:paraId="1BD446A1">
      <w:pPr>
        <w:pStyle w:val="34"/>
        <w:spacing w:line="500" w:lineRule="exact"/>
        <w:ind w:firstLine="632" w:firstLineChars="200"/>
        <w:rPr>
          <w:rFonts w:hint="eastAsia" w:ascii="方正仿宋_GBK" w:hAnsi="Times New Roman" w:eastAsia="方正仿宋_GBK" w:cs="Times New Roman"/>
          <w:b/>
          <w:bCs/>
          <w:sz w:val="32"/>
          <w:szCs w:val="32"/>
        </w:rPr>
      </w:pPr>
      <w:r>
        <w:rPr>
          <w:rFonts w:hint="eastAsia" w:ascii="方正仿宋_GBK" w:hAnsi="Times New Roman" w:eastAsia="方正仿宋_GBK" w:cs="Times New Roman"/>
          <w:b/>
          <w:bCs/>
          <w:sz w:val="32"/>
          <w:szCs w:val="32"/>
          <w:lang w:eastAsia="zh-CN"/>
        </w:rPr>
        <w:t>（三）</w:t>
      </w:r>
      <w:r>
        <w:rPr>
          <w:rFonts w:hint="eastAsia" w:ascii="方正仿宋_GBK" w:hAnsi="Times New Roman" w:eastAsia="方正仿宋_GBK" w:cs="Times New Roman"/>
          <w:b/>
          <w:bCs/>
          <w:sz w:val="32"/>
          <w:szCs w:val="32"/>
        </w:rPr>
        <w:t>推</w:t>
      </w:r>
      <w:r>
        <w:rPr>
          <w:rFonts w:hint="eastAsia" w:ascii="方正仿宋_GBK" w:hAnsi="Times New Roman" w:eastAsia="方正仿宋_GBK" w:cs="Times New Roman"/>
          <w:b/>
          <w:bCs/>
          <w:sz w:val="32"/>
          <w:szCs w:val="32"/>
          <w:lang w:eastAsia="zh-CN"/>
        </w:rPr>
        <w:t>行</w:t>
      </w:r>
      <w:r>
        <w:rPr>
          <w:rFonts w:hint="eastAsia" w:ascii="方正仿宋_GBK" w:hAnsi="Times New Roman" w:eastAsia="方正仿宋_GBK" w:cs="Times New Roman"/>
          <w:b/>
          <w:bCs/>
          <w:sz w:val="32"/>
          <w:szCs w:val="32"/>
        </w:rPr>
        <w:t>林长制，促进林业高质量发展</w:t>
      </w:r>
    </w:p>
    <w:p w14:paraId="676AB8BF">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1.</w:t>
      </w:r>
      <w:r>
        <w:rPr>
          <w:rFonts w:hint="eastAsia" w:ascii="Times New Roman" w:hAnsi="Times New Roman" w:eastAsia="方正仿宋_GBK" w:cs="Times New Roman"/>
          <w:b w:val="0"/>
          <w:bCs w:val="0"/>
          <w:sz w:val="32"/>
          <w:szCs w:val="32"/>
        </w:rPr>
        <w:t>推进各项配套制度有效落实。市总林长签发</w:t>
      </w:r>
      <w:r>
        <w:rPr>
          <w:rFonts w:ascii="Times New Roman" w:hAnsi="Times New Roman" w:eastAsia="方正仿宋_GBK" w:cs="Times New Roman"/>
          <w:b w:val="0"/>
          <w:bCs w:val="0"/>
          <w:sz w:val="32"/>
          <w:szCs w:val="32"/>
        </w:rPr>
        <w:t>2024</w:t>
      </w:r>
      <w:r>
        <w:rPr>
          <w:rFonts w:hint="eastAsia" w:ascii="Times New Roman" w:hAnsi="Times New Roman" w:eastAsia="方正仿宋_GBK" w:cs="Times New Roman"/>
          <w:b w:val="0"/>
          <w:bCs w:val="0"/>
          <w:sz w:val="32"/>
          <w:szCs w:val="32"/>
        </w:rPr>
        <w:t>年第</w:t>
      </w:r>
      <w:r>
        <w:rPr>
          <w:rFonts w:ascii="Times New Roman" w:hAnsi="Times New Roman" w:eastAsia="方正仿宋_GBK" w:cs="Times New Roman"/>
          <w:b w:val="0"/>
          <w:bCs w:val="0"/>
          <w:sz w:val="32"/>
          <w:szCs w:val="32"/>
        </w:rPr>
        <w:t>1</w:t>
      </w:r>
      <w:r>
        <w:rPr>
          <w:rFonts w:hint="eastAsia" w:ascii="Times New Roman" w:hAnsi="Times New Roman" w:eastAsia="方正仿宋_GBK" w:cs="Times New Roman"/>
          <w:b w:val="0"/>
          <w:bCs w:val="0"/>
          <w:sz w:val="32"/>
          <w:szCs w:val="32"/>
        </w:rPr>
        <w:t>号总林长令《关于加强春季森林防火工作的令》。召开全市林长制工作推进会议，印发年度林长制工作要点。指导和督促落实会议、巡林等制度。</w:t>
      </w:r>
    </w:p>
    <w:p w14:paraId="45525C6D">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2.</w:t>
      </w:r>
      <w:r>
        <w:rPr>
          <w:rFonts w:hint="eastAsia" w:ascii="Times New Roman" w:hAnsi="Times New Roman" w:eastAsia="方正仿宋_GBK" w:cs="Times New Roman"/>
          <w:b w:val="0"/>
          <w:bCs w:val="0"/>
          <w:sz w:val="32"/>
          <w:szCs w:val="32"/>
        </w:rPr>
        <w:t>深化集体林权制度改革。探索集体林权制度改革实施方向，因地制宜开展先行先试，落实落细改革任务。及时梳理深化集体林权制度改革情况进展，积累总结推广经验。</w:t>
      </w:r>
    </w:p>
    <w:p w14:paraId="719605BC">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3.</w:t>
      </w:r>
      <w:r>
        <w:rPr>
          <w:rFonts w:hint="eastAsia" w:ascii="Times New Roman" w:hAnsi="Times New Roman" w:eastAsia="方正仿宋_GBK" w:cs="Times New Roman"/>
          <w:b w:val="0"/>
          <w:bCs w:val="0"/>
          <w:sz w:val="32"/>
          <w:szCs w:val="32"/>
        </w:rPr>
        <w:t>科学推进国土绿化。坚决遏制耕地“非农化”和防止耕地“非粮化”，完成各类造林</w:t>
      </w:r>
      <w:r>
        <w:rPr>
          <w:rFonts w:ascii="Times New Roman" w:hAnsi="Times New Roman" w:eastAsia="方正仿宋_GBK" w:cs="Times New Roman"/>
          <w:b w:val="0"/>
          <w:bCs w:val="0"/>
          <w:sz w:val="32"/>
          <w:szCs w:val="32"/>
        </w:rPr>
        <w:t>1.7</w:t>
      </w:r>
      <w:r>
        <w:rPr>
          <w:rFonts w:hint="eastAsia" w:ascii="Times New Roman" w:hAnsi="Times New Roman" w:eastAsia="方正仿宋_GBK" w:cs="Times New Roman"/>
          <w:b w:val="0"/>
          <w:bCs w:val="0"/>
          <w:sz w:val="32"/>
          <w:szCs w:val="32"/>
        </w:rPr>
        <w:t>万亩，其中新增造林</w:t>
      </w:r>
      <w:r>
        <w:rPr>
          <w:rFonts w:ascii="Times New Roman" w:hAnsi="Times New Roman" w:eastAsia="方正仿宋_GBK" w:cs="Times New Roman"/>
          <w:b w:val="0"/>
          <w:bCs w:val="0"/>
          <w:sz w:val="32"/>
          <w:szCs w:val="32"/>
        </w:rPr>
        <w:t>325</w:t>
      </w:r>
      <w:r>
        <w:rPr>
          <w:rFonts w:hint="eastAsia" w:ascii="Times New Roman" w:hAnsi="Times New Roman" w:eastAsia="方正仿宋_GBK" w:cs="Times New Roman"/>
          <w:b w:val="0"/>
          <w:bCs w:val="0"/>
          <w:sz w:val="32"/>
          <w:szCs w:val="32"/>
        </w:rPr>
        <w:t>亩；实施森林抚育</w:t>
      </w:r>
      <w:r>
        <w:rPr>
          <w:rFonts w:ascii="Times New Roman" w:hAnsi="Times New Roman" w:eastAsia="方正仿宋_GBK" w:cs="Times New Roman"/>
          <w:b w:val="0"/>
          <w:bCs w:val="0"/>
          <w:sz w:val="32"/>
          <w:szCs w:val="32"/>
        </w:rPr>
        <w:t>5.8</w:t>
      </w:r>
      <w:r>
        <w:rPr>
          <w:rFonts w:hint="eastAsia" w:ascii="Times New Roman" w:hAnsi="Times New Roman" w:eastAsia="方正仿宋_GBK" w:cs="Times New Roman"/>
          <w:b w:val="0"/>
          <w:bCs w:val="0"/>
          <w:sz w:val="32"/>
          <w:szCs w:val="32"/>
        </w:rPr>
        <w:t>万亩。超额完成省级民生实事</w:t>
      </w:r>
      <w:r>
        <w:rPr>
          <w:rFonts w:ascii="Times New Roman" w:hAnsi="Times New Roman" w:eastAsia="方正仿宋_GBK" w:cs="Times New Roman"/>
          <w:b w:val="0"/>
          <w:bCs w:val="0"/>
          <w:sz w:val="32"/>
          <w:szCs w:val="32"/>
        </w:rPr>
        <w:t>26</w:t>
      </w:r>
      <w:r>
        <w:rPr>
          <w:rFonts w:hint="eastAsia" w:ascii="Times New Roman" w:hAnsi="Times New Roman" w:eastAsia="方正仿宋_GBK" w:cs="Times New Roman"/>
          <w:b w:val="0"/>
          <w:bCs w:val="0"/>
          <w:sz w:val="32"/>
          <w:szCs w:val="32"/>
        </w:rPr>
        <w:t>个绿美村庄、</w:t>
      </w:r>
      <w:r>
        <w:rPr>
          <w:rFonts w:ascii="Times New Roman" w:hAnsi="Times New Roman" w:eastAsia="方正仿宋_GBK" w:cs="Times New Roman"/>
          <w:b w:val="0"/>
          <w:bCs w:val="0"/>
          <w:sz w:val="32"/>
          <w:szCs w:val="32"/>
        </w:rPr>
        <w:t>1</w:t>
      </w:r>
      <w:r>
        <w:rPr>
          <w:rFonts w:hint="eastAsia" w:ascii="Times New Roman" w:hAnsi="Times New Roman" w:eastAsia="方正仿宋_GBK" w:cs="Times New Roman"/>
          <w:b w:val="0"/>
          <w:bCs w:val="0"/>
          <w:sz w:val="32"/>
          <w:szCs w:val="32"/>
        </w:rPr>
        <w:t>条省级森林步道建设任务。</w:t>
      </w:r>
    </w:p>
    <w:p w14:paraId="226171D0">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4.</w:t>
      </w:r>
      <w:r>
        <w:rPr>
          <w:rFonts w:hint="eastAsia" w:ascii="Times New Roman" w:hAnsi="Times New Roman" w:eastAsia="方正仿宋_GBK" w:cs="Times New Roman"/>
          <w:b w:val="0"/>
          <w:bCs w:val="0"/>
          <w:sz w:val="32"/>
          <w:szCs w:val="32"/>
        </w:rPr>
        <w:t>积极开展义务植树与社会绿化。配合完成省市四套班子领导义务植树活动，完成省级“互联网</w:t>
      </w:r>
      <w:r>
        <w:rPr>
          <w:rFonts w:ascii="Times New Roman" w:hAnsi="Times New Roman" w:eastAsia="方正仿宋_GBK" w:cs="Times New Roman"/>
          <w:b w:val="0"/>
          <w:bCs w:val="0"/>
          <w:sz w:val="32"/>
          <w:szCs w:val="32"/>
        </w:rPr>
        <w:t>+</w:t>
      </w:r>
      <w:r>
        <w:rPr>
          <w:rFonts w:hint="eastAsia" w:ascii="Times New Roman" w:hAnsi="Times New Roman" w:eastAsia="方正仿宋_GBK" w:cs="Times New Roman"/>
          <w:b w:val="0"/>
          <w:bCs w:val="0"/>
          <w:sz w:val="32"/>
          <w:szCs w:val="32"/>
        </w:rPr>
        <w:t>全民义务植树”南湖公园基地建设。开展义务植树尽责活动</w:t>
      </w:r>
      <w:r>
        <w:rPr>
          <w:rFonts w:ascii="Times New Roman" w:hAnsi="Times New Roman" w:eastAsia="方正仿宋_GBK" w:cs="Times New Roman"/>
          <w:b w:val="0"/>
          <w:bCs w:val="0"/>
          <w:sz w:val="32"/>
          <w:szCs w:val="32"/>
        </w:rPr>
        <w:t>500</w:t>
      </w:r>
      <w:r>
        <w:rPr>
          <w:rFonts w:hint="eastAsia" w:ascii="Times New Roman" w:hAnsi="Times New Roman" w:eastAsia="方正仿宋_GBK" w:cs="Times New Roman"/>
          <w:b w:val="0"/>
          <w:bCs w:val="0"/>
          <w:sz w:val="32"/>
          <w:szCs w:val="32"/>
        </w:rPr>
        <w:t>余次。加强古树名木保护，开展古树名木健康检测和复壮等工作，普查结果显示，全市现有古树名木</w:t>
      </w:r>
      <w:r>
        <w:rPr>
          <w:rFonts w:ascii="Times New Roman" w:hAnsi="Times New Roman" w:eastAsia="方正仿宋_GBK" w:cs="Times New Roman"/>
          <w:b w:val="0"/>
          <w:bCs w:val="0"/>
          <w:sz w:val="32"/>
          <w:szCs w:val="32"/>
        </w:rPr>
        <w:t>2215</w:t>
      </w:r>
      <w:r>
        <w:rPr>
          <w:rFonts w:hint="eastAsia" w:ascii="Times New Roman" w:hAnsi="Times New Roman" w:eastAsia="方正仿宋_GBK" w:cs="Times New Roman"/>
          <w:b w:val="0"/>
          <w:bCs w:val="0"/>
          <w:sz w:val="32"/>
          <w:szCs w:val="32"/>
        </w:rPr>
        <w:t>株，新增古树名木</w:t>
      </w:r>
      <w:r>
        <w:rPr>
          <w:rFonts w:ascii="Times New Roman" w:hAnsi="Times New Roman" w:eastAsia="方正仿宋_GBK" w:cs="Times New Roman"/>
          <w:b w:val="0"/>
          <w:bCs w:val="0"/>
          <w:sz w:val="32"/>
          <w:szCs w:val="32"/>
        </w:rPr>
        <w:t>133</w:t>
      </w:r>
      <w:r>
        <w:rPr>
          <w:rFonts w:hint="eastAsia" w:ascii="Times New Roman" w:hAnsi="Times New Roman" w:eastAsia="方正仿宋_GBK" w:cs="Times New Roman"/>
          <w:b w:val="0"/>
          <w:bCs w:val="0"/>
          <w:sz w:val="32"/>
          <w:szCs w:val="32"/>
        </w:rPr>
        <w:t>株。</w:t>
      </w:r>
    </w:p>
    <w:p w14:paraId="24550D61">
      <w:pPr>
        <w:pStyle w:val="34"/>
        <w:spacing w:line="500" w:lineRule="exact"/>
        <w:ind w:firstLine="632" w:firstLineChars="200"/>
        <w:rPr>
          <w:rFonts w:hint="eastAsia" w:ascii="方正仿宋_GBK" w:hAnsi="Times New Roman" w:eastAsia="方正仿宋_GBK" w:cs="Times New Roman"/>
          <w:b/>
          <w:bCs/>
          <w:sz w:val="32"/>
          <w:szCs w:val="32"/>
        </w:rPr>
      </w:pPr>
      <w:r>
        <w:rPr>
          <w:rFonts w:hint="eastAsia" w:ascii="方正仿宋_GBK" w:hAnsi="Times New Roman" w:eastAsia="方正仿宋_GBK" w:cs="Times New Roman"/>
          <w:b/>
          <w:bCs/>
          <w:sz w:val="32"/>
          <w:szCs w:val="32"/>
          <w:lang w:eastAsia="zh-CN"/>
        </w:rPr>
        <w:t>（四）</w:t>
      </w:r>
      <w:r>
        <w:rPr>
          <w:rFonts w:hint="eastAsia" w:ascii="方正仿宋_GBK" w:hAnsi="Times New Roman" w:eastAsia="方正仿宋_GBK" w:cs="Times New Roman"/>
          <w:b/>
          <w:bCs/>
          <w:sz w:val="32"/>
          <w:szCs w:val="32"/>
        </w:rPr>
        <w:t>加强林业资源管理，提升林业生态质量</w:t>
      </w:r>
    </w:p>
    <w:p w14:paraId="790186DC">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1.</w:t>
      </w:r>
      <w:r>
        <w:rPr>
          <w:rFonts w:hint="eastAsia" w:ascii="Times New Roman" w:hAnsi="Times New Roman" w:eastAsia="方正仿宋_GBK" w:cs="Times New Roman"/>
          <w:b w:val="0"/>
          <w:bCs w:val="0"/>
          <w:sz w:val="32"/>
          <w:szCs w:val="32"/>
        </w:rPr>
        <w:t>推进林地保有量指标落实与省级以上公益林优化落界。成立工作专班，审核“一张图”数据库初步成果。扎实开展省级以上公益林优化落界，经市政府同意，优化落界成果上报省局。推进森林草地湿地普查，完成地类对接，推进图斑区划调查等。</w:t>
      </w:r>
    </w:p>
    <w:p w14:paraId="10D08ABC">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2.</w:t>
      </w:r>
      <w:r>
        <w:rPr>
          <w:rFonts w:hint="eastAsia" w:ascii="Times New Roman" w:hAnsi="Times New Roman" w:eastAsia="方正仿宋_GBK" w:cs="Times New Roman"/>
          <w:b w:val="0"/>
          <w:bCs w:val="0"/>
          <w:sz w:val="32"/>
          <w:szCs w:val="32"/>
        </w:rPr>
        <w:t>加强自然保护地管理。</w:t>
      </w:r>
      <w:r>
        <w:rPr>
          <w:rFonts w:hint="eastAsia" w:eastAsia="方正仿宋_GBK" w:cs="Times New Roman"/>
          <w:b w:val="0"/>
          <w:bCs w:val="0"/>
          <w:sz w:val="32"/>
          <w:szCs w:val="32"/>
          <w:lang w:eastAsia="zh-CN"/>
        </w:rPr>
        <w:t>持续推进自然保护地整合优化工作，逐步健全我市自然保护地体系。</w:t>
      </w:r>
      <w:r>
        <w:rPr>
          <w:rFonts w:hint="eastAsia" w:ascii="Times New Roman" w:hAnsi="Times New Roman" w:eastAsia="方正仿宋_GBK" w:cs="Times New Roman"/>
          <w:b w:val="0"/>
          <w:bCs w:val="0"/>
          <w:sz w:val="32"/>
          <w:szCs w:val="32"/>
        </w:rPr>
        <w:t>夫子庙</w:t>
      </w:r>
      <w:r>
        <w:rPr>
          <w:rFonts w:ascii="Times New Roman" w:hAnsi="Times New Roman" w:eastAsia="方正仿宋_GBK" w:cs="Times New Roman"/>
          <w:b w:val="0"/>
          <w:bCs w:val="0"/>
          <w:sz w:val="32"/>
          <w:szCs w:val="32"/>
        </w:rPr>
        <w:t>-</w:t>
      </w:r>
      <w:r>
        <w:rPr>
          <w:rFonts w:hint="eastAsia" w:ascii="Times New Roman" w:hAnsi="Times New Roman" w:eastAsia="方正仿宋_GBK" w:cs="Times New Roman"/>
          <w:b w:val="0"/>
          <w:bCs w:val="0"/>
          <w:sz w:val="32"/>
          <w:szCs w:val="32"/>
        </w:rPr>
        <w:t>秦淮风光带风景名胜区、无想山国家森林公园总体规划</w:t>
      </w:r>
      <w:r>
        <w:rPr>
          <w:rFonts w:hint="eastAsia" w:eastAsia="方正仿宋_GBK" w:cs="Times New Roman"/>
          <w:b w:val="0"/>
          <w:bCs w:val="0"/>
          <w:sz w:val="32"/>
          <w:szCs w:val="32"/>
          <w:lang w:eastAsia="zh-CN"/>
        </w:rPr>
        <w:t>获得批复，</w:t>
      </w:r>
      <w:r>
        <w:rPr>
          <w:rFonts w:hint="eastAsia" w:ascii="Times New Roman" w:hAnsi="Times New Roman" w:eastAsia="方正仿宋_GBK" w:cs="Times New Roman"/>
          <w:b w:val="0"/>
          <w:bCs w:val="0"/>
          <w:sz w:val="32"/>
          <w:szCs w:val="32"/>
        </w:rPr>
        <w:t>指导指导推进雨花台风景名胜区总体规划、南京栖霞山国家森林公园总体规划修编。开展自然保护地遥感监测</w:t>
      </w:r>
      <w:r>
        <w:rPr>
          <w:rFonts w:hint="eastAsia" w:eastAsia="方正仿宋_GBK" w:cs="Times New Roman"/>
          <w:b w:val="0"/>
          <w:bCs w:val="0"/>
          <w:sz w:val="32"/>
          <w:szCs w:val="32"/>
          <w:lang w:eastAsia="zh-CN"/>
        </w:rPr>
        <w:t>，</w:t>
      </w:r>
      <w:r>
        <w:rPr>
          <w:rFonts w:hint="eastAsia" w:ascii="Times New Roman" w:hAnsi="Times New Roman" w:eastAsia="方正仿宋_GBK" w:cs="Times New Roman"/>
          <w:b w:val="0"/>
          <w:bCs w:val="0"/>
          <w:sz w:val="32"/>
          <w:szCs w:val="32"/>
        </w:rPr>
        <w:t>完成国家、省自然保护地疑似问题图斑核实上报</w:t>
      </w:r>
      <w:r>
        <w:rPr>
          <w:rFonts w:hint="eastAsia" w:eastAsia="方正仿宋_GBK" w:cs="Times New Roman"/>
          <w:b w:val="0"/>
          <w:bCs w:val="0"/>
          <w:sz w:val="32"/>
          <w:szCs w:val="32"/>
          <w:lang w:eastAsia="zh-CN"/>
        </w:rPr>
        <w:t>。</w:t>
      </w:r>
      <w:r>
        <w:rPr>
          <w:rFonts w:hint="eastAsia" w:ascii="Times New Roman" w:hAnsi="Times New Roman" w:eastAsia="方正仿宋_GBK" w:cs="Times New Roman"/>
          <w:b w:val="0"/>
          <w:bCs w:val="0"/>
          <w:sz w:val="32"/>
          <w:szCs w:val="32"/>
        </w:rPr>
        <w:t>支持南京中山植物园创建国家植物园。</w:t>
      </w:r>
    </w:p>
    <w:p w14:paraId="014BC96C">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3.</w:t>
      </w:r>
      <w:r>
        <w:rPr>
          <w:rFonts w:hint="eastAsia" w:ascii="Times New Roman" w:hAnsi="Times New Roman" w:eastAsia="方正仿宋_GBK" w:cs="Times New Roman"/>
          <w:b w:val="0"/>
          <w:bCs w:val="0"/>
          <w:sz w:val="32"/>
          <w:szCs w:val="32"/>
        </w:rPr>
        <w:t>加强野生动植物等生物多样性保护。开展陆生野生动物资源调查、陆生野生动物监测和陆生野生动物疫源疫病监测防控。做好中华虎凤蝶、秤锤树等珍稀野生动植物栖息地保护。联合开展“清风行动</w:t>
      </w:r>
      <w:r>
        <w:rPr>
          <w:rFonts w:ascii="Times New Roman" w:hAnsi="Times New Roman" w:eastAsia="方正仿宋_GBK" w:cs="Times New Roman"/>
          <w:b w:val="0"/>
          <w:bCs w:val="0"/>
          <w:sz w:val="32"/>
          <w:szCs w:val="32"/>
        </w:rPr>
        <w:t>2024</w:t>
      </w:r>
      <w:r>
        <w:rPr>
          <w:rFonts w:hint="eastAsia" w:ascii="Times New Roman" w:hAnsi="Times New Roman" w:eastAsia="方正仿宋_GBK" w:cs="Times New Roman"/>
          <w:b w:val="0"/>
          <w:bCs w:val="0"/>
          <w:sz w:val="32"/>
          <w:szCs w:val="32"/>
        </w:rPr>
        <w:t>”“网盾行动”，打击破坏野生动物资源违法行为。开展国家重点保护陆生野生动物人工繁育专项整治行动。</w:t>
      </w:r>
    </w:p>
    <w:p w14:paraId="775E545B">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4.</w:t>
      </w:r>
      <w:r>
        <w:rPr>
          <w:rFonts w:hint="eastAsia" w:ascii="Times New Roman" w:hAnsi="Times New Roman" w:eastAsia="方正仿宋_GBK" w:cs="Times New Roman"/>
          <w:b w:val="0"/>
          <w:bCs w:val="0"/>
          <w:sz w:val="32"/>
          <w:szCs w:val="32"/>
        </w:rPr>
        <w:t>积极开展野猪危害防控。印发野猪危害防控工作方案，开展野猪危害防控专项行动，指导各区各单位加快推进野猪种群调控。鼓励支持各区、市级单位投保野生动物肇事损害保险，维护群众合法权益。</w:t>
      </w:r>
    </w:p>
    <w:p w14:paraId="1EE9845A">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5.</w:t>
      </w:r>
      <w:r>
        <w:rPr>
          <w:rFonts w:hint="eastAsia" w:ascii="Times New Roman" w:hAnsi="Times New Roman" w:eastAsia="方正仿宋_GBK" w:cs="Times New Roman"/>
          <w:b w:val="0"/>
          <w:bCs w:val="0"/>
          <w:sz w:val="32"/>
          <w:szCs w:val="32"/>
        </w:rPr>
        <w:t>加强林业有害生物防控。完成年度春季松材线虫病疫木清理任务和秋季疫情普查及日常巡查任务。精准开展美国白蛾、杨舟蛾等食叶害虫监测防治。积极开展林业有害生物联防联控。认真开展“护松</w:t>
      </w:r>
      <w:r>
        <w:rPr>
          <w:rFonts w:ascii="Times New Roman" w:hAnsi="Times New Roman" w:eastAsia="方正仿宋_GBK" w:cs="Times New Roman"/>
          <w:b w:val="0"/>
          <w:bCs w:val="0"/>
          <w:sz w:val="32"/>
          <w:szCs w:val="32"/>
        </w:rPr>
        <w:t>2024</w:t>
      </w:r>
      <w:r>
        <w:rPr>
          <w:rFonts w:hint="eastAsia" w:ascii="Times New Roman" w:hAnsi="Times New Roman" w:eastAsia="方正仿宋_GBK" w:cs="Times New Roman"/>
          <w:b w:val="0"/>
          <w:bCs w:val="0"/>
          <w:sz w:val="32"/>
          <w:szCs w:val="32"/>
        </w:rPr>
        <w:t>”涉松材线虫病疫木检疫执法专项行动。</w:t>
      </w:r>
    </w:p>
    <w:p w14:paraId="604DE3BB">
      <w:pPr>
        <w:pStyle w:val="34"/>
        <w:spacing w:line="500" w:lineRule="exact"/>
        <w:ind w:firstLine="632" w:firstLineChars="200"/>
        <w:rPr>
          <w:rFonts w:hint="eastAsia" w:ascii="方正仿宋_GBK" w:hAnsi="Times New Roman" w:eastAsia="方正仿宋_GBK" w:cs="Times New Roman"/>
          <w:b/>
          <w:bCs/>
          <w:sz w:val="32"/>
          <w:szCs w:val="32"/>
        </w:rPr>
      </w:pPr>
      <w:r>
        <w:rPr>
          <w:rFonts w:hint="eastAsia" w:ascii="方正仿宋_GBK" w:hAnsi="Times New Roman" w:eastAsia="方正仿宋_GBK" w:cs="Times New Roman"/>
          <w:b/>
          <w:bCs/>
          <w:sz w:val="32"/>
          <w:szCs w:val="32"/>
          <w:lang w:eastAsia="zh-CN"/>
        </w:rPr>
        <w:t>（五）</w:t>
      </w:r>
      <w:r>
        <w:rPr>
          <w:rFonts w:hint="eastAsia" w:ascii="方正仿宋_GBK" w:hAnsi="Times New Roman" w:eastAsia="方正仿宋_GBK" w:cs="Times New Roman"/>
          <w:b/>
          <w:bCs/>
          <w:sz w:val="32"/>
          <w:szCs w:val="32"/>
        </w:rPr>
        <w:t>坚持生态修复，助力长江大保护</w:t>
      </w:r>
    </w:p>
    <w:p w14:paraId="7679F847">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1.</w:t>
      </w:r>
      <w:r>
        <w:rPr>
          <w:rFonts w:hint="eastAsia" w:ascii="Times New Roman" w:hAnsi="Times New Roman" w:eastAsia="方正仿宋_GBK" w:cs="Times New Roman"/>
          <w:b w:val="0"/>
          <w:bCs w:val="0"/>
          <w:sz w:val="32"/>
          <w:szCs w:val="32"/>
        </w:rPr>
        <w:t>加强长江江豚保护区管理。完成南京长江江豚省级自然保护区总体规划修编，获得省级批复。开展巡护巡航9</w:t>
      </w:r>
      <w:r>
        <w:rPr>
          <w:rFonts w:hint="eastAsia" w:ascii="Times New Roman" w:hAnsi="Times New Roman" w:eastAsia="方正仿宋_GBK" w:cs="Times New Roman"/>
          <w:b w:val="0"/>
          <w:bCs w:val="0"/>
          <w:sz w:val="32"/>
          <w:szCs w:val="32"/>
          <w:lang w:val="en-US" w:eastAsia="zh-CN"/>
        </w:rPr>
        <w:t>8</w:t>
      </w:r>
      <w:r>
        <w:rPr>
          <w:rFonts w:hint="eastAsia" w:ascii="Times New Roman" w:hAnsi="Times New Roman" w:eastAsia="方正仿宋_GBK" w:cs="Times New Roman"/>
          <w:b w:val="0"/>
          <w:bCs w:val="0"/>
          <w:sz w:val="32"/>
          <w:szCs w:val="32"/>
        </w:rPr>
        <w:t>次。完善首个长江干流江豚原地应急救护体系。</w:t>
      </w:r>
      <w:r>
        <w:rPr>
          <w:rFonts w:hint="eastAsia" w:ascii="Times New Roman" w:hAnsi="Times New Roman" w:eastAsia="方正仿宋_GBK" w:cs="Times New Roman"/>
          <w:b w:val="0"/>
          <w:bCs w:val="0"/>
          <w:sz w:val="32"/>
          <w:szCs w:val="32"/>
          <w:lang w:val="en-US" w:eastAsia="zh-CN"/>
        </w:rPr>
        <w:t>开展保护区生物多样性年度动态调查，</w:t>
      </w:r>
      <w:r>
        <w:rPr>
          <w:rFonts w:hint="eastAsia" w:ascii="Times New Roman" w:hAnsi="Times New Roman" w:eastAsia="方正仿宋_GBK" w:cs="Times New Roman"/>
          <w:b w:val="0"/>
          <w:bCs w:val="0"/>
          <w:sz w:val="32"/>
          <w:szCs w:val="32"/>
        </w:rPr>
        <w:t>调查结果显示保护区江豚数量增长至约</w:t>
      </w:r>
      <w:r>
        <w:rPr>
          <w:rFonts w:ascii="Times New Roman" w:hAnsi="Times New Roman" w:eastAsia="方正仿宋_GBK" w:cs="Times New Roman"/>
          <w:b w:val="0"/>
          <w:bCs w:val="0"/>
          <w:sz w:val="32"/>
          <w:szCs w:val="32"/>
        </w:rPr>
        <w:t>65</w:t>
      </w:r>
      <w:r>
        <w:rPr>
          <w:rFonts w:hint="eastAsia" w:ascii="Times New Roman" w:hAnsi="Times New Roman" w:eastAsia="方正仿宋_GBK" w:cs="Times New Roman"/>
          <w:b w:val="0"/>
          <w:bCs w:val="0"/>
          <w:sz w:val="32"/>
          <w:szCs w:val="32"/>
        </w:rPr>
        <w:t>头，种群发展潜力良好。</w:t>
      </w:r>
    </w:p>
    <w:p w14:paraId="3B44F156">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2.</w:t>
      </w:r>
      <w:r>
        <w:rPr>
          <w:rFonts w:hint="eastAsia" w:ascii="Times New Roman" w:hAnsi="Times New Roman" w:eastAsia="方正仿宋_GBK" w:cs="Times New Roman"/>
          <w:b w:val="0"/>
          <w:bCs w:val="0"/>
          <w:sz w:val="32"/>
          <w:szCs w:val="32"/>
        </w:rPr>
        <w:t>加强沿江湿地保护修复。开展《南京市湿地保护条例》立法修订调研。修复长江湿地</w:t>
      </w:r>
      <w:r>
        <w:rPr>
          <w:rFonts w:ascii="Times New Roman" w:hAnsi="Times New Roman" w:eastAsia="方正仿宋_GBK" w:cs="Times New Roman"/>
          <w:b w:val="0"/>
          <w:bCs w:val="0"/>
          <w:sz w:val="32"/>
          <w:szCs w:val="32"/>
        </w:rPr>
        <w:t>770</w:t>
      </w:r>
      <w:r>
        <w:rPr>
          <w:rFonts w:hint="eastAsia" w:ascii="Times New Roman" w:hAnsi="Times New Roman" w:eastAsia="方正仿宋_GBK" w:cs="Times New Roman"/>
          <w:b w:val="0"/>
          <w:bCs w:val="0"/>
          <w:sz w:val="32"/>
          <w:szCs w:val="32"/>
        </w:rPr>
        <w:t>亩。新建湿地保护小区</w:t>
      </w:r>
      <w:r>
        <w:rPr>
          <w:rFonts w:ascii="Times New Roman" w:hAnsi="Times New Roman" w:eastAsia="方正仿宋_GBK" w:cs="Times New Roman"/>
          <w:b w:val="0"/>
          <w:bCs w:val="0"/>
          <w:sz w:val="32"/>
          <w:szCs w:val="32"/>
        </w:rPr>
        <w:t>3</w:t>
      </w:r>
      <w:r>
        <w:rPr>
          <w:rFonts w:hint="eastAsia" w:ascii="Times New Roman" w:hAnsi="Times New Roman" w:eastAsia="方正仿宋_GBK" w:cs="Times New Roman"/>
          <w:b w:val="0"/>
          <w:bCs w:val="0"/>
          <w:sz w:val="32"/>
          <w:szCs w:val="32"/>
        </w:rPr>
        <w:t>个。新济洲湿地修复获评“江苏首届</w:t>
      </w:r>
      <w:r>
        <w:rPr>
          <w:rFonts w:ascii="Times New Roman" w:hAnsi="Times New Roman" w:eastAsia="方正仿宋_GBK" w:cs="Times New Roman"/>
          <w:b w:val="0"/>
          <w:bCs w:val="0"/>
          <w:sz w:val="32"/>
          <w:szCs w:val="32"/>
        </w:rPr>
        <w:t>10</w:t>
      </w:r>
      <w:r>
        <w:rPr>
          <w:rFonts w:hint="eastAsia" w:ascii="Times New Roman" w:hAnsi="Times New Roman" w:eastAsia="方正仿宋_GBK" w:cs="Times New Roman"/>
          <w:b w:val="0"/>
          <w:bCs w:val="0"/>
          <w:sz w:val="32"/>
          <w:szCs w:val="32"/>
        </w:rPr>
        <w:t>佳湿地生态修复案例”。南京长江湿地生态系统定位观测研究站建成长江中下游湿地区唯一的永久性河流类型的国家级湿地生态站。</w:t>
      </w:r>
    </w:p>
    <w:p w14:paraId="152D685A">
      <w:pPr>
        <w:pStyle w:val="34"/>
        <w:spacing w:line="500" w:lineRule="exact"/>
        <w:ind w:firstLine="632" w:firstLineChars="200"/>
        <w:rPr>
          <w:rFonts w:hint="eastAsia" w:ascii="方正仿宋_GBK" w:hAnsi="Times New Roman" w:eastAsia="方正仿宋_GBK" w:cs="Times New Roman"/>
          <w:b/>
          <w:bCs/>
          <w:sz w:val="32"/>
          <w:szCs w:val="32"/>
        </w:rPr>
      </w:pPr>
      <w:r>
        <w:rPr>
          <w:rFonts w:hint="eastAsia" w:ascii="方正仿宋_GBK" w:hAnsi="Times New Roman" w:eastAsia="方正仿宋_GBK" w:cs="Times New Roman"/>
          <w:b/>
          <w:bCs/>
          <w:sz w:val="32"/>
          <w:szCs w:val="32"/>
          <w:lang w:eastAsia="zh-CN"/>
        </w:rPr>
        <w:t>（六）</w:t>
      </w:r>
      <w:r>
        <w:rPr>
          <w:rFonts w:hint="eastAsia" w:ascii="方正仿宋_GBK" w:hAnsi="Times New Roman" w:eastAsia="方正仿宋_GBK" w:cs="Times New Roman"/>
          <w:b/>
          <w:bCs/>
          <w:sz w:val="32"/>
          <w:szCs w:val="32"/>
        </w:rPr>
        <w:t>发展林业产业，培育新质生产力</w:t>
      </w:r>
    </w:p>
    <w:p w14:paraId="05DB8103">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1.</w:t>
      </w:r>
      <w:r>
        <w:rPr>
          <w:rFonts w:hint="eastAsia" w:ascii="Times New Roman" w:hAnsi="Times New Roman" w:eastAsia="方正仿宋_GBK" w:cs="Times New Roman"/>
          <w:b w:val="0"/>
          <w:bCs w:val="0"/>
          <w:sz w:val="32"/>
          <w:szCs w:val="32"/>
        </w:rPr>
        <w:t>持续推进林下经济和产业发展。依托森林、林地及其生态环境，推动森林旅游、森林康养、林下种植、林产品加工等产业发展。</w:t>
      </w:r>
    </w:p>
    <w:p w14:paraId="489A3E8E">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2.</w:t>
      </w:r>
      <w:r>
        <w:rPr>
          <w:rFonts w:hint="eastAsia" w:ascii="Times New Roman" w:hAnsi="Times New Roman" w:eastAsia="方正仿宋_GBK" w:cs="Times New Roman"/>
          <w:b w:val="0"/>
          <w:bCs w:val="0"/>
          <w:sz w:val="32"/>
          <w:szCs w:val="32"/>
        </w:rPr>
        <w:t>开展林业和城市绿地碳汇研究。完成全市湿地碳汇计量监测，构建湿地年度碳汇监测模型，提出湿地碳汇提升策略。高淳区作为我市唯一的全省林业生态产品价值实现机制试点区，与南京大学和南京林业大学合作开展湿地和森林生态产品价值核算技术研究。完成城市绿地碳汇能力监测，编制增汇减排方案，构建碳汇数据库。</w:t>
      </w:r>
      <w:r>
        <w:rPr>
          <w:rFonts w:hint="eastAsia" w:eastAsia="方正仿宋_GBK" w:cs="Times New Roman"/>
          <w:b w:val="0"/>
          <w:bCs w:val="0"/>
          <w:sz w:val="32"/>
          <w:szCs w:val="32"/>
          <w:lang w:eastAsia="zh-CN"/>
        </w:rPr>
        <w:t>栖霞区探索</w:t>
      </w:r>
      <w:r>
        <w:rPr>
          <w:rFonts w:hint="eastAsia" w:ascii="Times New Roman" w:hAnsi="Times New Roman" w:eastAsia="方正仿宋_GBK" w:cs="Times New Roman"/>
          <w:b w:val="0"/>
          <w:bCs w:val="0"/>
          <w:sz w:val="32"/>
          <w:szCs w:val="32"/>
        </w:rPr>
        <w:t>将生态损害赔偿金转化为林业碳汇能力建设资金，用于区域内退化林修复改造。</w:t>
      </w:r>
    </w:p>
    <w:p w14:paraId="48FB988C">
      <w:pPr>
        <w:pStyle w:val="34"/>
        <w:spacing w:line="500" w:lineRule="exact"/>
        <w:ind w:firstLine="632" w:firstLineChars="200"/>
        <w:rPr>
          <w:rFonts w:hint="eastAsia" w:ascii="方正仿宋_GBK" w:hAnsi="Times New Roman" w:eastAsia="方正仿宋_GBK" w:cs="Times New Roman"/>
          <w:b/>
          <w:bCs/>
          <w:sz w:val="32"/>
          <w:szCs w:val="32"/>
        </w:rPr>
      </w:pPr>
      <w:r>
        <w:rPr>
          <w:rFonts w:hint="eastAsia" w:ascii="方正仿宋_GBK" w:hAnsi="Times New Roman" w:eastAsia="方正仿宋_GBK" w:cs="Times New Roman"/>
          <w:b/>
          <w:bCs/>
          <w:sz w:val="32"/>
          <w:szCs w:val="32"/>
          <w:lang w:eastAsia="zh-CN"/>
        </w:rPr>
        <w:t>（七）</w:t>
      </w:r>
      <w:r>
        <w:rPr>
          <w:rFonts w:hint="eastAsia" w:ascii="方正仿宋_GBK" w:hAnsi="Times New Roman" w:eastAsia="方正仿宋_GBK" w:cs="Times New Roman"/>
          <w:b/>
          <w:bCs/>
          <w:sz w:val="32"/>
          <w:szCs w:val="32"/>
        </w:rPr>
        <w:t>坚持依法行政，优化营商环境</w:t>
      </w:r>
    </w:p>
    <w:p w14:paraId="71279678">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1.</w:t>
      </w:r>
      <w:r>
        <w:rPr>
          <w:rFonts w:hint="eastAsia" w:ascii="Times New Roman" w:hAnsi="Times New Roman" w:eastAsia="方正仿宋_GBK" w:cs="Times New Roman"/>
          <w:b w:val="0"/>
          <w:bCs w:val="0"/>
          <w:sz w:val="32"/>
          <w:szCs w:val="32"/>
        </w:rPr>
        <w:t>积极推进法治政府建设。组织召开年度述法工作会议并开展评议，完成年度述法工作总结。印发年度法治工作要点，开展普法宣传活动</w:t>
      </w:r>
      <w:r>
        <w:rPr>
          <w:rFonts w:hint="eastAsia" w:eastAsia="方正仿宋_GBK" w:cs="Times New Roman"/>
          <w:b w:val="0"/>
          <w:bCs w:val="0"/>
          <w:sz w:val="32"/>
          <w:szCs w:val="32"/>
          <w:lang w:eastAsia="zh-CN"/>
        </w:rPr>
        <w:t>等</w:t>
      </w:r>
      <w:r>
        <w:rPr>
          <w:rFonts w:hint="eastAsia" w:ascii="Times New Roman" w:hAnsi="Times New Roman" w:eastAsia="方正仿宋_GBK" w:cs="Times New Roman"/>
          <w:b w:val="0"/>
          <w:bCs w:val="0"/>
          <w:sz w:val="32"/>
          <w:szCs w:val="32"/>
        </w:rPr>
        <w:t>。</w:t>
      </w:r>
    </w:p>
    <w:p w14:paraId="69EF4FFB">
      <w:pPr>
        <w:widowControl w:val="0"/>
        <w:overflowPunct/>
        <w:autoSpaceDE/>
        <w:autoSpaceDN/>
        <w:adjustRightInd/>
        <w:spacing w:line="560" w:lineRule="exact"/>
        <w:ind w:firstLine="632" w:firstLineChars="200"/>
        <w:textAlignment w:val="auto"/>
        <w:rPr>
          <w:rFonts w:hint="eastAsia" w:ascii="Times New Roman" w:hAnsi="Times New Roman" w:eastAsia="方正仿宋_GBK" w:cs="Times New Roman"/>
          <w:b w:val="0"/>
          <w:bCs w:val="0"/>
          <w:sz w:val="32"/>
          <w:szCs w:val="32"/>
          <w:lang w:val="en-US" w:eastAsia="zh-CN"/>
        </w:rPr>
      </w:pPr>
      <w:r>
        <w:rPr>
          <w:rFonts w:ascii="Times New Roman" w:hAnsi="Times New Roman" w:eastAsia="方正仿宋_GBK" w:cs="Times New Roman"/>
          <w:b w:val="0"/>
          <w:bCs w:val="0"/>
          <w:sz w:val="32"/>
          <w:szCs w:val="32"/>
        </w:rPr>
        <w:t>2.</w:t>
      </w:r>
      <w:r>
        <w:rPr>
          <w:rFonts w:hint="eastAsia" w:ascii="Times New Roman" w:hAnsi="Times New Roman" w:eastAsia="方正仿宋_GBK" w:cs="Times New Roman"/>
          <w:b w:val="0"/>
          <w:bCs w:val="0"/>
          <w:sz w:val="32"/>
          <w:szCs w:val="32"/>
        </w:rPr>
        <w:t>持续优化营商环境。印发局</w:t>
      </w:r>
      <w:r>
        <w:rPr>
          <w:rFonts w:ascii="Times New Roman" w:hAnsi="Times New Roman" w:eastAsia="方正仿宋_GBK" w:cs="Times New Roman"/>
          <w:b w:val="0"/>
          <w:bCs w:val="0"/>
          <w:sz w:val="32"/>
          <w:szCs w:val="32"/>
        </w:rPr>
        <w:t>2024</w:t>
      </w:r>
      <w:r>
        <w:rPr>
          <w:rFonts w:hint="eastAsia" w:ascii="Times New Roman" w:hAnsi="Times New Roman" w:eastAsia="方正仿宋_GBK" w:cs="Times New Roman"/>
          <w:b w:val="0"/>
          <w:bCs w:val="0"/>
          <w:sz w:val="32"/>
          <w:szCs w:val="32"/>
        </w:rPr>
        <w:t>年优化营商环境实施方案，完善长效工作机制，推出多项惠企政策。印发年度行政审批事项事中事后监管计划，做好双随机任务的下达与执行。持续加强窗口服务管理，不断提升政务服务效能。</w:t>
      </w:r>
      <w:r>
        <w:rPr>
          <w:rFonts w:hint="eastAsia" w:eastAsia="方正仿宋_GBK" w:cs="Times New Roman"/>
          <w:b w:val="0"/>
          <w:bCs w:val="0"/>
          <w:sz w:val="32"/>
          <w:szCs w:val="32"/>
          <w:lang w:eastAsia="zh-CN"/>
        </w:rPr>
        <w:t>在“宁</w:t>
      </w:r>
      <w:r>
        <w:rPr>
          <w:rFonts w:hint="eastAsia" w:ascii="Times New Roman" w:hAnsi="Times New Roman" w:eastAsia="方正仿宋_GBK" w:cs="Times New Roman"/>
          <w:b w:val="0"/>
          <w:bCs w:val="0"/>
          <w:sz w:val="32"/>
          <w:szCs w:val="32"/>
          <w:lang w:eastAsia="zh-CN"/>
        </w:rPr>
        <w:t>企通”惠企综合服务平台开通“</w:t>
      </w:r>
      <w:r>
        <w:rPr>
          <w:rFonts w:hint="eastAsia" w:ascii="Times New Roman" w:hAnsi="Times New Roman" w:eastAsia="方正仿宋_GBK" w:cs="Times New Roman"/>
          <w:b w:val="0"/>
          <w:bCs w:val="0"/>
          <w:sz w:val="32"/>
          <w:szCs w:val="32"/>
        </w:rPr>
        <w:t>南京市园林工程建设施工企业信用分查询服务</w:t>
      </w:r>
      <w:r>
        <w:rPr>
          <w:rFonts w:hint="eastAsia" w:ascii="Times New Roman" w:hAnsi="Times New Roman" w:eastAsia="方正仿宋_GBK" w:cs="Times New Roman"/>
          <w:b w:val="0"/>
          <w:bCs w:val="0"/>
          <w:sz w:val="32"/>
          <w:szCs w:val="32"/>
          <w:lang w:eastAsia="zh-CN"/>
        </w:rPr>
        <w:t>”功能。</w:t>
      </w:r>
    </w:p>
    <w:p w14:paraId="7A9AC36B">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3.</w:t>
      </w:r>
      <w:r>
        <w:rPr>
          <w:rFonts w:hint="eastAsia" w:ascii="Times New Roman" w:hAnsi="Times New Roman" w:eastAsia="方正仿宋_GBK" w:cs="Times New Roman"/>
          <w:b w:val="0"/>
          <w:bCs w:val="0"/>
          <w:sz w:val="32"/>
          <w:szCs w:val="32"/>
        </w:rPr>
        <w:t>积极保障重大项目用林。跟进协调省林业局审核同意我市用林项目</w:t>
      </w:r>
      <w:r>
        <w:rPr>
          <w:rFonts w:ascii="Times New Roman" w:hAnsi="Times New Roman" w:eastAsia="方正仿宋_GBK" w:cs="Times New Roman"/>
          <w:b w:val="0"/>
          <w:bCs w:val="0"/>
          <w:sz w:val="32"/>
          <w:szCs w:val="32"/>
        </w:rPr>
        <w:t>9</w:t>
      </w:r>
      <w:r>
        <w:rPr>
          <w:rFonts w:hint="eastAsia" w:ascii="Times New Roman" w:hAnsi="Times New Roman" w:eastAsia="方正仿宋_GBK" w:cs="Times New Roman"/>
          <w:b w:val="0"/>
          <w:bCs w:val="0"/>
          <w:sz w:val="32"/>
          <w:szCs w:val="32"/>
        </w:rPr>
        <w:t>6个，有力保障了一大批省市重点项目建设需求。</w:t>
      </w:r>
    </w:p>
    <w:p w14:paraId="57DCAA27">
      <w:pPr>
        <w:widowControl w:val="0"/>
        <w:tabs>
          <w:tab w:val="left" w:pos="624"/>
          <w:tab w:val="left" w:pos="669"/>
        </w:tabs>
        <w:overflowPunct/>
        <w:autoSpaceDE/>
        <w:autoSpaceDN/>
        <w:adjustRightInd/>
        <w:spacing w:line="560" w:lineRule="exact"/>
        <w:ind w:firstLine="632" w:firstLineChars="200"/>
        <w:textAlignment w:val="auto"/>
        <w:outlineLvl w:val="0"/>
        <w:rPr>
          <w:rFonts w:ascii="黑体" w:hAnsi="黑体" w:eastAsia="黑体" w:cs="黑体"/>
          <w:color w:val="auto"/>
          <w:szCs w:val="32"/>
          <w:highlight w:val="none"/>
        </w:rPr>
      </w:pPr>
      <w:r>
        <w:rPr>
          <w:rFonts w:hint="eastAsia" w:ascii="黑体" w:hAnsi="黑体" w:eastAsia="黑体" w:cs="黑体"/>
          <w:color w:val="auto"/>
          <w:szCs w:val="32"/>
          <w:highlight w:val="none"/>
        </w:rPr>
        <w:t>四、存在问题及原因分析</w:t>
      </w:r>
      <w:bookmarkEnd w:id="17"/>
    </w:p>
    <w:p w14:paraId="44258F92">
      <w:pPr>
        <w:widowControl w:val="0"/>
        <w:overflowPunct/>
        <w:autoSpaceDE/>
        <w:autoSpaceDN/>
        <w:adjustRightInd/>
        <w:spacing w:line="560" w:lineRule="exact"/>
        <w:ind w:firstLine="632" w:firstLineChars="200"/>
        <w:textAlignment w:val="auto"/>
        <w:rPr>
          <w:rFonts w:hint="eastAsia" w:ascii="Times New Roman" w:hAnsi="Times New Roman" w:eastAsia="方正仿宋_GBK" w:cs="Times New Roman"/>
          <w:b w:val="0"/>
          <w:bCs w:val="0"/>
          <w:sz w:val="32"/>
          <w:szCs w:val="32"/>
          <w:lang w:val="en-US" w:eastAsia="zh-CN"/>
        </w:rPr>
      </w:pPr>
      <w:bookmarkStart w:id="18" w:name="_Toc2327536"/>
      <w:r>
        <w:rPr>
          <w:rFonts w:hint="eastAsia" w:ascii="Times New Roman" w:hAnsi="Times New Roman" w:eastAsia="方正仿宋_GBK" w:cs="Times New Roman"/>
          <w:szCs w:val="32"/>
        </w:rPr>
        <w:t>《绿色南京专项资金管理办法》（宁绿林字〔</w:t>
      </w:r>
      <w:r>
        <w:rPr>
          <w:rFonts w:hint="default" w:ascii="Times New Roman" w:hAnsi="Times New Roman" w:eastAsia="方正仿宋_GBK" w:cs="Times New Roman"/>
          <w:szCs w:val="32"/>
        </w:rPr>
        <w:t>2016</w:t>
      </w:r>
      <w:r>
        <w:rPr>
          <w:rFonts w:hint="eastAsia" w:ascii="Times New Roman" w:hAnsi="Times New Roman" w:eastAsia="方正仿宋_GBK" w:cs="Times New Roman"/>
          <w:szCs w:val="32"/>
        </w:rPr>
        <w:t>〕</w:t>
      </w:r>
      <w:r>
        <w:rPr>
          <w:rFonts w:hint="default" w:ascii="Times New Roman" w:hAnsi="Times New Roman" w:eastAsia="方正仿宋_GBK" w:cs="Times New Roman"/>
          <w:szCs w:val="32"/>
        </w:rPr>
        <w:t>183</w:t>
      </w:r>
      <w:r>
        <w:rPr>
          <w:rFonts w:hint="eastAsia" w:ascii="Times New Roman" w:hAnsi="Times New Roman" w:eastAsia="方正仿宋_GBK" w:cs="Times New Roman"/>
          <w:szCs w:val="32"/>
        </w:rPr>
        <w:t>号）</w:t>
      </w:r>
      <w:r>
        <w:rPr>
          <w:rFonts w:hint="eastAsia" w:ascii="Times New Roman" w:hAnsi="Times New Roman" w:eastAsia="方正仿宋_GBK" w:cs="Times New Roman"/>
          <w:szCs w:val="32"/>
          <w:lang w:eastAsia="zh-CN"/>
        </w:rPr>
        <w:t>和</w:t>
      </w:r>
      <w:r>
        <w:rPr>
          <w:rFonts w:hint="eastAsia" w:ascii="Times New Roman" w:hAnsi="Times New Roman" w:eastAsia="方正仿宋_GBK" w:cs="Times New Roman"/>
          <w:szCs w:val="32"/>
          <w:lang w:val="en-US" w:eastAsia="zh-CN"/>
        </w:rPr>
        <w:t>《南京市林业项目管理办法》（宁园林〔</w:t>
      </w:r>
      <w:r>
        <w:rPr>
          <w:rFonts w:hint="default" w:ascii="Times New Roman" w:hAnsi="Times New Roman" w:eastAsia="方正仿宋_GBK" w:cs="Times New Roman"/>
          <w:szCs w:val="32"/>
          <w:lang w:val="en-US" w:eastAsia="zh-CN"/>
        </w:rPr>
        <w:t>2017</w:t>
      </w:r>
      <w:r>
        <w:rPr>
          <w:rFonts w:hint="eastAsia" w:ascii="Times New Roman" w:hAnsi="Times New Roman" w:eastAsia="方正仿宋_GBK" w:cs="Times New Roman"/>
          <w:szCs w:val="32"/>
          <w:lang w:val="en-US" w:eastAsia="zh-CN"/>
        </w:rPr>
        <w:t>〕</w:t>
      </w:r>
      <w:r>
        <w:rPr>
          <w:rFonts w:hint="default" w:ascii="Times New Roman" w:hAnsi="Times New Roman" w:eastAsia="方正仿宋_GBK" w:cs="Times New Roman"/>
          <w:szCs w:val="32"/>
          <w:lang w:val="en-US" w:eastAsia="zh-CN"/>
        </w:rPr>
        <w:t>147</w:t>
      </w:r>
      <w:r>
        <w:rPr>
          <w:rFonts w:hint="eastAsia" w:ascii="Times New Roman" w:hAnsi="Times New Roman" w:eastAsia="方正仿宋_GBK" w:cs="Times New Roman"/>
          <w:szCs w:val="32"/>
          <w:lang w:val="en-US" w:eastAsia="zh-CN"/>
        </w:rPr>
        <w:t>号）两个管理办法出台时间</w:t>
      </w:r>
      <w:r>
        <w:rPr>
          <w:rFonts w:hint="eastAsia" w:eastAsia="方正仿宋_GBK" w:cs="Times New Roman"/>
          <w:szCs w:val="32"/>
          <w:lang w:val="en-US" w:eastAsia="zh-CN"/>
        </w:rPr>
        <w:t>较久</w:t>
      </w:r>
      <w:r>
        <w:rPr>
          <w:rFonts w:hint="eastAsia" w:ascii="Times New Roman" w:hAnsi="Times New Roman" w:eastAsia="方正仿宋_GBK" w:cs="Times New Roman"/>
          <w:szCs w:val="32"/>
          <w:lang w:val="en-US" w:eastAsia="zh-CN"/>
        </w:rPr>
        <w:t>，尤其是《</w:t>
      </w:r>
      <w:r>
        <w:rPr>
          <w:rFonts w:hint="default" w:ascii="Times New Roman" w:hAnsi="Times New Roman" w:eastAsia="方正仿宋_GBK" w:cs="Times New Roman"/>
          <w:szCs w:val="32"/>
          <w:lang w:val="en-US" w:eastAsia="zh-CN"/>
        </w:rPr>
        <w:t>南京市市级财政专项资金管理办法</w:t>
      </w:r>
      <w:r>
        <w:rPr>
          <w:rFonts w:hint="eastAsia" w:ascii="Times New Roman" w:hAnsi="Times New Roman" w:eastAsia="方正仿宋_GBK" w:cs="Times New Roman"/>
          <w:szCs w:val="32"/>
          <w:lang w:val="en-US" w:eastAsia="zh-CN"/>
        </w:rPr>
        <w:t>》（宁政发〔2021〕118号）实施后，在绩效管理、储备项目管理等方面提出一些新要求，两个管理办法需要</w:t>
      </w:r>
      <w:r>
        <w:rPr>
          <w:rFonts w:hint="eastAsia" w:eastAsia="方正仿宋_GBK" w:cs="Times New Roman"/>
          <w:szCs w:val="32"/>
          <w:lang w:val="en-US" w:eastAsia="zh-CN"/>
        </w:rPr>
        <w:t>加快</w:t>
      </w:r>
      <w:r>
        <w:rPr>
          <w:rFonts w:hint="eastAsia" w:ascii="Times New Roman" w:hAnsi="Times New Roman" w:eastAsia="方正仿宋_GBK" w:cs="Times New Roman"/>
          <w:szCs w:val="32"/>
          <w:lang w:val="en-US" w:eastAsia="zh-CN"/>
        </w:rPr>
        <w:t>修订完善。</w:t>
      </w:r>
    </w:p>
    <w:p w14:paraId="3AFB32B3">
      <w:pPr>
        <w:keepNext/>
        <w:keepLines/>
        <w:spacing w:line="560" w:lineRule="exact"/>
        <w:ind w:firstLine="632" w:firstLineChars="200"/>
        <w:jc w:val="left"/>
        <w:outlineLvl w:val="1"/>
        <w:rPr>
          <w:rFonts w:ascii="黑体" w:hAnsi="黑体" w:eastAsia="黑体" w:cs="黑体"/>
          <w:color w:val="auto"/>
          <w:szCs w:val="32"/>
          <w:highlight w:val="none"/>
        </w:rPr>
      </w:pPr>
      <w:r>
        <w:rPr>
          <w:rFonts w:hint="eastAsia" w:ascii="黑体" w:hAnsi="黑体" w:eastAsia="黑体" w:cs="黑体"/>
          <w:color w:val="auto"/>
          <w:szCs w:val="32"/>
          <w:highlight w:val="none"/>
        </w:rPr>
        <w:t>五、有关建议</w:t>
      </w:r>
      <w:bookmarkEnd w:id="18"/>
    </w:p>
    <w:p w14:paraId="55E71B66">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修订完善《绿色南京专项资金管理办法》《南京市林业项目管理办法》，进一步提高专项资金使用绩效。</w:t>
      </w:r>
    </w:p>
    <w:p w14:paraId="52A0933F">
      <w:pPr>
        <w:keepNext/>
        <w:keepLines/>
        <w:spacing w:line="560" w:lineRule="exact"/>
        <w:ind w:firstLine="632" w:firstLineChars="200"/>
        <w:jc w:val="left"/>
        <w:outlineLvl w:val="1"/>
        <w:rPr>
          <w:rFonts w:ascii="黑体" w:hAnsi="黑体" w:eastAsia="黑体" w:cs="黑体"/>
          <w:color w:val="auto"/>
          <w:szCs w:val="32"/>
          <w:highlight w:val="none"/>
        </w:rPr>
      </w:pPr>
      <w:r>
        <w:rPr>
          <w:rFonts w:hint="eastAsia" w:ascii="黑体" w:hAnsi="黑体" w:eastAsia="黑体" w:cs="黑体"/>
          <w:color w:val="auto"/>
          <w:szCs w:val="32"/>
          <w:highlight w:val="none"/>
        </w:rPr>
        <w:t>六、评价工作开展情况及其他需说明的情况</w:t>
      </w:r>
    </w:p>
    <w:p w14:paraId="45E4367B">
      <w:pPr>
        <w:widowControl w:val="0"/>
        <w:spacing w:line="560" w:lineRule="exact"/>
        <w:ind w:firstLine="632" w:firstLineChars="200"/>
        <w:outlineLvl w:val="1"/>
        <w:rPr>
          <w:rFonts w:ascii="方正仿宋_GBK" w:hAnsi="方正仿宋_GBK" w:eastAsia="方正仿宋_GBK" w:cs="方正仿宋_GBK"/>
          <w:b/>
          <w:bCs/>
          <w:color w:val="auto"/>
          <w:szCs w:val="32"/>
          <w:highlight w:val="none"/>
        </w:rPr>
      </w:pPr>
      <w:bookmarkStart w:id="19" w:name="_Toc14560"/>
      <w:bookmarkStart w:id="20" w:name="_Toc30723"/>
      <w:r>
        <w:rPr>
          <w:rFonts w:hint="eastAsia" w:ascii="方正仿宋_GBK" w:hAnsi="方正仿宋_GBK" w:eastAsia="方正仿宋_GBK" w:cs="方正仿宋_GBK"/>
          <w:b/>
          <w:bCs/>
          <w:color w:val="auto"/>
          <w:szCs w:val="32"/>
          <w:highlight w:val="none"/>
        </w:rPr>
        <w:t>（一）评价方法</w:t>
      </w:r>
      <w:bookmarkEnd w:id="19"/>
      <w:bookmarkEnd w:id="20"/>
    </w:p>
    <w:p w14:paraId="77414C5C">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本次评价运用文献法、现场评价法、社会调查法、财务分析法、因素分析法、比较法等绩效评价方法，社会调查法主要通过访谈等形式实现，同时通过文献资料搜索、多因素分析来支撑评价的逻辑紧密性与客观性。本次评价坚持定量与定性相结合的方式，始终遵循科学规范、公平公正、绩效相关和分级管理的基本原则。</w:t>
      </w:r>
      <w:bookmarkStart w:id="21" w:name="_Toc16030_WPSOffice_Level1"/>
      <w:bookmarkStart w:id="22" w:name="_Toc31965_WPSOffice_Level1"/>
    </w:p>
    <w:p w14:paraId="721F6CEE">
      <w:pPr>
        <w:widowControl w:val="0"/>
        <w:spacing w:line="560" w:lineRule="exact"/>
        <w:ind w:firstLine="632" w:firstLineChars="200"/>
        <w:outlineLvl w:val="1"/>
        <w:rPr>
          <w:rFonts w:ascii="方正仿宋_GBK" w:hAnsi="方正仿宋_GBK" w:eastAsia="方正仿宋_GBK" w:cs="方正仿宋_GBK"/>
          <w:b/>
          <w:bCs/>
          <w:color w:val="auto"/>
          <w:szCs w:val="32"/>
          <w:highlight w:val="none"/>
        </w:rPr>
      </w:pPr>
      <w:bookmarkStart w:id="23" w:name="_Toc12465"/>
      <w:r>
        <w:rPr>
          <w:rFonts w:hint="eastAsia" w:ascii="方正仿宋_GBK" w:hAnsi="方正仿宋_GBK" w:eastAsia="方正仿宋_GBK" w:cs="方正仿宋_GBK"/>
          <w:b/>
          <w:bCs/>
          <w:color w:val="auto"/>
          <w:szCs w:val="32"/>
          <w:highlight w:val="none"/>
        </w:rPr>
        <w:t>（二）评价依据</w:t>
      </w:r>
      <w:bookmarkEnd w:id="21"/>
      <w:bookmarkEnd w:id="22"/>
      <w:bookmarkEnd w:id="23"/>
    </w:p>
    <w:p w14:paraId="02A78EE3">
      <w:pPr>
        <w:widowControl w:val="0"/>
        <w:overflowPunct/>
        <w:autoSpaceDE/>
        <w:autoSpaceDN/>
        <w:adjustRightInd/>
        <w:spacing w:line="560" w:lineRule="exact"/>
        <w:ind w:firstLine="632" w:firstLineChars="200"/>
        <w:textAlignment w:val="auto"/>
        <w:outlineLvl w:val="2"/>
        <w:rPr>
          <w:rFonts w:ascii="方正仿宋_GBK" w:hAnsi="方正仿宋_GBK" w:eastAsia="方正仿宋_GBK" w:cs="方正仿宋_GBK"/>
          <w:b/>
          <w:bCs/>
          <w:color w:val="auto"/>
          <w:szCs w:val="32"/>
          <w:highlight w:val="none"/>
        </w:rPr>
      </w:pPr>
      <w:bookmarkStart w:id="24" w:name="_Toc18910"/>
      <w:bookmarkStart w:id="25" w:name="_Toc26314"/>
      <w:r>
        <w:rPr>
          <w:rFonts w:ascii="方正仿宋_GBK" w:hAnsi="方正仿宋_GBK" w:eastAsia="方正仿宋_GBK" w:cs="方正仿宋_GBK"/>
          <w:b/>
          <w:bCs/>
          <w:color w:val="auto"/>
          <w:szCs w:val="32"/>
          <w:highlight w:val="none"/>
        </w:rPr>
        <w:t>1.</w:t>
      </w:r>
      <w:r>
        <w:rPr>
          <w:rFonts w:hint="eastAsia" w:ascii="方正仿宋_GBK" w:hAnsi="方正仿宋_GBK" w:eastAsia="方正仿宋_GBK" w:cs="方正仿宋_GBK"/>
          <w:b/>
          <w:bCs/>
          <w:color w:val="auto"/>
          <w:szCs w:val="32"/>
          <w:highlight w:val="none"/>
        </w:rPr>
        <w:t>财政部绩效管理相关政策文件</w:t>
      </w:r>
      <w:bookmarkEnd w:id="24"/>
      <w:bookmarkEnd w:id="25"/>
    </w:p>
    <w:p w14:paraId="671EA311">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1</w:t>
      </w:r>
      <w:r>
        <w:rPr>
          <w:rFonts w:hint="eastAsia" w:ascii="Times New Roman" w:hAnsi="Times New Roman" w:eastAsia="方正仿宋_GBK" w:cs="Times New Roman"/>
          <w:b w:val="0"/>
          <w:bCs w:val="0"/>
          <w:sz w:val="32"/>
          <w:szCs w:val="32"/>
        </w:rPr>
        <w:t>）关于贯彻落实《中共中央国务院关于全面实施预算绩效管理的意见》的通知（财预〔</w:t>
      </w:r>
      <w:r>
        <w:rPr>
          <w:rFonts w:ascii="Times New Roman" w:hAnsi="Times New Roman" w:eastAsia="方正仿宋_GBK" w:cs="Times New Roman"/>
          <w:b w:val="0"/>
          <w:bCs w:val="0"/>
          <w:sz w:val="32"/>
          <w:szCs w:val="32"/>
        </w:rPr>
        <w:t>2018</w:t>
      </w:r>
      <w:r>
        <w:rPr>
          <w:rFonts w:hint="eastAsia" w:ascii="Times New Roman"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167</w:t>
      </w:r>
      <w:r>
        <w:rPr>
          <w:rFonts w:hint="eastAsia" w:ascii="Times New Roman" w:hAnsi="Times New Roman" w:eastAsia="方正仿宋_GBK" w:cs="Times New Roman"/>
          <w:b w:val="0"/>
          <w:bCs w:val="0"/>
          <w:sz w:val="32"/>
          <w:szCs w:val="32"/>
        </w:rPr>
        <w:t>号）；</w:t>
      </w:r>
    </w:p>
    <w:p w14:paraId="55DB3E24">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2</w:t>
      </w:r>
      <w:r>
        <w:rPr>
          <w:rFonts w:hint="eastAsia" w:ascii="Times New Roman" w:hAnsi="Times New Roman" w:eastAsia="方正仿宋_GBK" w:cs="Times New Roman"/>
          <w:b w:val="0"/>
          <w:bCs w:val="0"/>
          <w:sz w:val="32"/>
          <w:szCs w:val="32"/>
        </w:rPr>
        <w:t>）《关于印发</w:t>
      </w:r>
      <w:r>
        <w:rPr>
          <w:rFonts w:ascii="Times New Roman" w:hAnsi="Times New Roman" w:eastAsia="方正仿宋_GBK" w:cs="Times New Roman"/>
          <w:b w:val="0"/>
          <w:bCs w:val="0"/>
          <w:sz w:val="32"/>
          <w:szCs w:val="32"/>
        </w:rPr>
        <w:t>&lt;</w:t>
      </w:r>
      <w:r>
        <w:rPr>
          <w:rFonts w:hint="eastAsia" w:ascii="Times New Roman" w:hAnsi="Times New Roman" w:eastAsia="方正仿宋_GBK" w:cs="Times New Roman"/>
          <w:b w:val="0"/>
          <w:bCs w:val="0"/>
          <w:sz w:val="32"/>
          <w:szCs w:val="32"/>
        </w:rPr>
        <w:t>项目支出绩效评价管理办法</w:t>
      </w:r>
      <w:r>
        <w:rPr>
          <w:rFonts w:ascii="Times New Roman" w:hAnsi="Times New Roman" w:eastAsia="方正仿宋_GBK" w:cs="Times New Roman"/>
          <w:b w:val="0"/>
          <w:bCs w:val="0"/>
          <w:sz w:val="32"/>
          <w:szCs w:val="32"/>
        </w:rPr>
        <w:t>&gt;</w:t>
      </w:r>
      <w:r>
        <w:rPr>
          <w:rFonts w:hint="eastAsia" w:ascii="Times New Roman" w:hAnsi="Times New Roman" w:eastAsia="方正仿宋_GBK" w:cs="Times New Roman"/>
          <w:b w:val="0"/>
          <w:bCs w:val="0"/>
          <w:sz w:val="32"/>
          <w:szCs w:val="32"/>
        </w:rPr>
        <w:t>的通知》（财预〔</w:t>
      </w:r>
      <w:r>
        <w:rPr>
          <w:rFonts w:ascii="Times New Roman" w:hAnsi="Times New Roman" w:eastAsia="方正仿宋_GBK" w:cs="Times New Roman"/>
          <w:b w:val="0"/>
          <w:bCs w:val="0"/>
          <w:sz w:val="32"/>
          <w:szCs w:val="32"/>
        </w:rPr>
        <w:t>2020</w:t>
      </w:r>
      <w:r>
        <w:rPr>
          <w:rFonts w:hint="eastAsia" w:ascii="Times New Roman"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10</w:t>
      </w:r>
      <w:r>
        <w:rPr>
          <w:rFonts w:hint="eastAsia" w:ascii="Times New Roman" w:hAnsi="Times New Roman" w:eastAsia="方正仿宋_GBK" w:cs="Times New Roman"/>
          <w:b w:val="0"/>
          <w:bCs w:val="0"/>
          <w:sz w:val="32"/>
          <w:szCs w:val="32"/>
        </w:rPr>
        <w:t>号）等。</w:t>
      </w:r>
    </w:p>
    <w:p w14:paraId="69C112C1">
      <w:pPr>
        <w:widowControl w:val="0"/>
        <w:overflowPunct/>
        <w:autoSpaceDE/>
        <w:autoSpaceDN/>
        <w:adjustRightInd/>
        <w:spacing w:line="560" w:lineRule="exact"/>
        <w:ind w:firstLine="632" w:firstLineChars="200"/>
        <w:textAlignment w:val="auto"/>
        <w:outlineLvl w:val="2"/>
        <w:rPr>
          <w:rFonts w:ascii="方正仿宋_GBK" w:hAnsi="方正仿宋_GBK" w:eastAsia="方正仿宋_GBK" w:cs="方正仿宋_GBK"/>
          <w:b/>
          <w:bCs/>
          <w:color w:val="auto"/>
          <w:szCs w:val="32"/>
          <w:highlight w:val="none"/>
        </w:rPr>
      </w:pPr>
      <w:bookmarkStart w:id="26" w:name="_Toc32693"/>
      <w:bookmarkStart w:id="27" w:name="_Toc30887"/>
      <w:r>
        <w:rPr>
          <w:rFonts w:ascii="方正仿宋_GBK" w:hAnsi="方正仿宋_GBK" w:eastAsia="方正仿宋_GBK" w:cs="方正仿宋_GBK"/>
          <w:b/>
          <w:bCs/>
          <w:color w:val="auto"/>
          <w:szCs w:val="32"/>
          <w:highlight w:val="none"/>
        </w:rPr>
        <w:t>2.</w:t>
      </w:r>
      <w:r>
        <w:rPr>
          <w:rFonts w:hint="eastAsia" w:ascii="方正仿宋_GBK" w:hAnsi="方正仿宋_GBK" w:eastAsia="方正仿宋_GBK" w:cs="方正仿宋_GBK"/>
          <w:b/>
          <w:bCs/>
          <w:color w:val="auto"/>
          <w:szCs w:val="32"/>
          <w:highlight w:val="none"/>
        </w:rPr>
        <w:t>省市绩效管理相关政策文件</w:t>
      </w:r>
      <w:bookmarkEnd w:id="26"/>
      <w:bookmarkEnd w:id="27"/>
    </w:p>
    <w:p w14:paraId="17FBAD01">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1</w:t>
      </w:r>
      <w:r>
        <w:rPr>
          <w:rFonts w:hint="eastAsia" w:ascii="Times New Roman"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2023</w:t>
      </w:r>
      <w:r>
        <w:rPr>
          <w:rFonts w:hint="eastAsia" w:ascii="Times New Roman" w:hAnsi="Times New Roman" w:eastAsia="方正仿宋_GBK" w:cs="Times New Roman"/>
          <w:b w:val="0"/>
          <w:bCs w:val="0"/>
          <w:sz w:val="32"/>
          <w:szCs w:val="32"/>
        </w:rPr>
        <w:t>年南京市市级预算部门（单位）绩效管理工作要求》（宁财绩〔</w:t>
      </w:r>
      <w:r>
        <w:rPr>
          <w:rFonts w:ascii="Times New Roman" w:hAnsi="Times New Roman" w:eastAsia="方正仿宋_GBK" w:cs="Times New Roman"/>
          <w:b w:val="0"/>
          <w:bCs w:val="0"/>
          <w:sz w:val="32"/>
          <w:szCs w:val="32"/>
        </w:rPr>
        <w:t>2023</w:t>
      </w:r>
      <w:r>
        <w:rPr>
          <w:rFonts w:hint="eastAsia" w:ascii="Times New Roman"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71</w:t>
      </w:r>
      <w:r>
        <w:rPr>
          <w:rFonts w:hint="eastAsia" w:ascii="Times New Roman" w:hAnsi="Times New Roman" w:eastAsia="方正仿宋_GBK" w:cs="Times New Roman"/>
          <w:b w:val="0"/>
          <w:bCs w:val="0"/>
          <w:sz w:val="32"/>
          <w:szCs w:val="32"/>
        </w:rPr>
        <w:t>号）；</w:t>
      </w:r>
    </w:p>
    <w:p w14:paraId="4462493A">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2</w:t>
      </w:r>
      <w:r>
        <w:rPr>
          <w:rFonts w:hint="eastAsia" w:ascii="Times New Roman" w:hAnsi="Times New Roman" w:eastAsia="方正仿宋_GBK" w:cs="Times New Roman"/>
          <w:b w:val="0"/>
          <w:bCs w:val="0"/>
          <w:sz w:val="32"/>
          <w:szCs w:val="32"/>
        </w:rPr>
        <w:t>）《南京市市级财政预算绩效评价操作规程（试行）》（宁财绩〔</w:t>
      </w:r>
      <w:r>
        <w:rPr>
          <w:rFonts w:ascii="Times New Roman" w:hAnsi="Times New Roman" w:eastAsia="方正仿宋_GBK" w:cs="Times New Roman"/>
          <w:b w:val="0"/>
          <w:bCs w:val="0"/>
          <w:sz w:val="32"/>
          <w:szCs w:val="32"/>
        </w:rPr>
        <w:t>2020</w:t>
      </w:r>
      <w:r>
        <w:rPr>
          <w:rFonts w:hint="eastAsia" w:ascii="Times New Roman"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260</w:t>
      </w:r>
      <w:r>
        <w:rPr>
          <w:rFonts w:hint="eastAsia" w:ascii="Times New Roman" w:hAnsi="Times New Roman" w:eastAsia="方正仿宋_GBK" w:cs="Times New Roman"/>
          <w:b w:val="0"/>
          <w:bCs w:val="0"/>
          <w:sz w:val="32"/>
          <w:szCs w:val="32"/>
        </w:rPr>
        <w:t>号）；</w:t>
      </w:r>
    </w:p>
    <w:p w14:paraId="3C51BFE7">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3</w:t>
      </w:r>
      <w:r>
        <w:rPr>
          <w:rFonts w:hint="eastAsia" w:ascii="Times New Roman" w:hAnsi="Times New Roman" w:eastAsia="方正仿宋_GBK" w:cs="Times New Roman"/>
          <w:b w:val="0"/>
          <w:bCs w:val="0"/>
          <w:sz w:val="32"/>
          <w:szCs w:val="32"/>
        </w:rPr>
        <w:t>）《中共江苏省委江苏省人民政府关于全面实施绩效管理的实施意见》（苏发〔</w:t>
      </w:r>
      <w:r>
        <w:rPr>
          <w:rFonts w:ascii="Times New Roman" w:hAnsi="Times New Roman" w:eastAsia="方正仿宋_GBK" w:cs="Times New Roman"/>
          <w:b w:val="0"/>
          <w:bCs w:val="0"/>
          <w:sz w:val="32"/>
          <w:szCs w:val="32"/>
        </w:rPr>
        <w:t>2019</w:t>
      </w:r>
      <w:r>
        <w:rPr>
          <w:rFonts w:hint="eastAsia" w:ascii="Times New Roman"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6</w:t>
      </w:r>
      <w:r>
        <w:rPr>
          <w:rFonts w:hint="eastAsia" w:ascii="Times New Roman" w:hAnsi="Times New Roman" w:eastAsia="方正仿宋_GBK" w:cs="Times New Roman"/>
          <w:b w:val="0"/>
          <w:bCs w:val="0"/>
          <w:sz w:val="32"/>
          <w:szCs w:val="32"/>
        </w:rPr>
        <w:t>号）；</w:t>
      </w:r>
    </w:p>
    <w:p w14:paraId="487E912E">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4</w:t>
      </w:r>
      <w:r>
        <w:rPr>
          <w:rFonts w:hint="eastAsia" w:ascii="Times New Roman" w:hAnsi="Times New Roman" w:eastAsia="方正仿宋_GBK" w:cs="Times New Roman"/>
          <w:b w:val="0"/>
          <w:bCs w:val="0"/>
          <w:sz w:val="32"/>
          <w:szCs w:val="32"/>
        </w:rPr>
        <w:t>）《市政府办公厅关于转发市财政局南京市级财政预算绩效管理办法的通知》（宁政办发〔</w:t>
      </w:r>
      <w:r>
        <w:rPr>
          <w:rFonts w:ascii="Times New Roman" w:hAnsi="Times New Roman" w:eastAsia="方正仿宋_GBK" w:cs="Times New Roman"/>
          <w:b w:val="0"/>
          <w:bCs w:val="0"/>
          <w:sz w:val="32"/>
          <w:szCs w:val="32"/>
        </w:rPr>
        <w:t>2015</w:t>
      </w:r>
      <w:r>
        <w:rPr>
          <w:rFonts w:hint="eastAsia" w:ascii="Times New Roman"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1</w:t>
      </w:r>
      <w:r>
        <w:rPr>
          <w:rFonts w:hint="eastAsia" w:ascii="Times New Roman" w:hAnsi="Times New Roman" w:eastAsia="方正仿宋_GBK" w:cs="Times New Roman"/>
          <w:b w:val="0"/>
          <w:bCs w:val="0"/>
          <w:sz w:val="32"/>
          <w:szCs w:val="32"/>
        </w:rPr>
        <w:t>号）。</w:t>
      </w:r>
    </w:p>
    <w:p w14:paraId="11D84466">
      <w:pPr>
        <w:widowControl w:val="0"/>
        <w:overflowPunct/>
        <w:autoSpaceDE/>
        <w:autoSpaceDN/>
        <w:adjustRightInd/>
        <w:spacing w:line="560" w:lineRule="exact"/>
        <w:ind w:firstLine="632" w:firstLineChars="200"/>
        <w:textAlignment w:val="auto"/>
        <w:outlineLvl w:val="2"/>
        <w:rPr>
          <w:rFonts w:ascii="方正仿宋_GBK" w:hAnsi="方正仿宋_GBK" w:eastAsia="方正仿宋_GBK" w:cs="方正仿宋_GBK"/>
          <w:b/>
          <w:bCs/>
          <w:color w:val="auto"/>
          <w:szCs w:val="32"/>
          <w:highlight w:val="none"/>
        </w:rPr>
      </w:pPr>
      <w:bookmarkStart w:id="28" w:name="_Toc4953"/>
      <w:bookmarkStart w:id="29" w:name="_Toc4434"/>
      <w:r>
        <w:rPr>
          <w:rFonts w:ascii="方正仿宋_GBK" w:hAnsi="方正仿宋_GBK" w:eastAsia="方正仿宋_GBK" w:cs="方正仿宋_GBK"/>
          <w:b/>
          <w:bCs/>
          <w:color w:val="auto"/>
          <w:szCs w:val="32"/>
          <w:highlight w:val="none"/>
        </w:rPr>
        <w:t>3.</w:t>
      </w:r>
      <w:r>
        <w:rPr>
          <w:rFonts w:hint="eastAsia" w:ascii="方正仿宋_GBK" w:hAnsi="方正仿宋_GBK" w:eastAsia="方正仿宋_GBK" w:cs="方正仿宋_GBK"/>
          <w:b/>
          <w:bCs/>
          <w:color w:val="auto"/>
          <w:szCs w:val="32"/>
          <w:highlight w:val="none"/>
        </w:rPr>
        <w:t>财务资料、业务管理材料以及项目所涉及相关政策文件</w:t>
      </w:r>
      <w:bookmarkEnd w:id="28"/>
      <w:bookmarkEnd w:id="29"/>
    </w:p>
    <w:p w14:paraId="55791C6E">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1</w:t>
      </w:r>
      <w:r>
        <w:rPr>
          <w:rFonts w:hint="eastAsia" w:ascii="Times New Roman" w:hAnsi="Times New Roman" w:eastAsia="方正仿宋_GBK" w:cs="Times New Roman"/>
          <w:b w:val="0"/>
          <w:bCs w:val="0"/>
          <w:sz w:val="32"/>
          <w:szCs w:val="32"/>
        </w:rPr>
        <w:t>）《南京市园林绿化和林业发展“十四五”规划》（宁园建〔</w:t>
      </w:r>
      <w:r>
        <w:rPr>
          <w:rFonts w:ascii="Times New Roman" w:hAnsi="Times New Roman" w:eastAsia="方正仿宋_GBK" w:cs="Times New Roman"/>
          <w:b w:val="0"/>
          <w:bCs w:val="0"/>
          <w:sz w:val="32"/>
          <w:szCs w:val="32"/>
        </w:rPr>
        <w:t>2021</w:t>
      </w:r>
      <w:r>
        <w:rPr>
          <w:rFonts w:hint="eastAsia" w:ascii="Times New Roman"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39</w:t>
      </w:r>
      <w:r>
        <w:rPr>
          <w:rFonts w:hint="eastAsia" w:ascii="Times New Roman" w:hAnsi="Times New Roman" w:eastAsia="方正仿宋_GBK" w:cs="Times New Roman"/>
          <w:b w:val="0"/>
          <w:bCs w:val="0"/>
          <w:sz w:val="32"/>
          <w:szCs w:val="32"/>
        </w:rPr>
        <w:t>号）；</w:t>
      </w:r>
    </w:p>
    <w:p w14:paraId="562067BA">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2</w:t>
      </w:r>
      <w:r>
        <w:rPr>
          <w:rFonts w:hint="eastAsia" w:ascii="Times New Roman" w:hAnsi="Times New Roman" w:eastAsia="方正仿宋_GBK" w:cs="Times New Roman"/>
          <w:b w:val="0"/>
          <w:bCs w:val="0"/>
          <w:sz w:val="32"/>
          <w:szCs w:val="32"/>
        </w:rPr>
        <w:t>）《绿色南京专项资金管理办法》（宁绿林字〔</w:t>
      </w:r>
      <w:r>
        <w:rPr>
          <w:rFonts w:ascii="Times New Roman" w:hAnsi="Times New Roman" w:eastAsia="方正仿宋_GBK" w:cs="Times New Roman"/>
          <w:b w:val="0"/>
          <w:bCs w:val="0"/>
          <w:sz w:val="32"/>
          <w:szCs w:val="32"/>
        </w:rPr>
        <w:t>2016</w:t>
      </w:r>
      <w:r>
        <w:rPr>
          <w:rFonts w:hint="eastAsia" w:ascii="Times New Roman"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183</w:t>
      </w:r>
      <w:r>
        <w:rPr>
          <w:rFonts w:hint="eastAsia" w:ascii="Times New Roman" w:hAnsi="Times New Roman" w:eastAsia="方正仿宋_GBK" w:cs="Times New Roman"/>
          <w:b w:val="0"/>
          <w:bCs w:val="0"/>
          <w:sz w:val="32"/>
          <w:szCs w:val="32"/>
        </w:rPr>
        <w:t>号</w:t>
      </w:r>
      <w:r>
        <w:rPr>
          <w:rFonts w:ascii="Times New Roman" w:hAnsi="Times New Roman" w:eastAsia="方正仿宋_GBK" w:cs="Times New Roman"/>
          <w:b w:val="0"/>
          <w:bCs w:val="0"/>
          <w:sz w:val="32"/>
          <w:szCs w:val="32"/>
        </w:rPr>
        <w:t xml:space="preserve">  </w:t>
      </w:r>
      <w:r>
        <w:rPr>
          <w:rFonts w:hint="eastAsia" w:ascii="Times New Roman" w:hAnsi="Times New Roman" w:eastAsia="方正仿宋_GBK" w:cs="Times New Roman"/>
          <w:b w:val="0"/>
          <w:bCs w:val="0"/>
          <w:sz w:val="32"/>
          <w:szCs w:val="32"/>
        </w:rPr>
        <w:t>宁财建〔</w:t>
      </w:r>
      <w:r>
        <w:rPr>
          <w:rFonts w:ascii="Times New Roman" w:hAnsi="Times New Roman" w:eastAsia="方正仿宋_GBK" w:cs="Times New Roman"/>
          <w:b w:val="0"/>
          <w:bCs w:val="0"/>
          <w:sz w:val="32"/>
          <w:szCs w:val="32"/>
        </w:rPr>
        <w:t>2016</w:t>
      </w:r>
      <w:r>
        <w:rPr>
          <w:rFonts w:hint="eastAsia" w:ascii="Times New Roman"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897</w:t>
      </w:r>
      <w:r>
        <w:rPr>
          <w:rFonts w:hint="eastAsia" w:ascii="Times New Roman" w:hAnsi="Times New Roman" w:eastAsia="方正仿宋_GBK" w:cs="Times New Roman"/>
          <w:b w:val="0"/>
          <w:bCs w:val="0"/>
          <w:sz w:val="32"/>
          <w:szCs w:val="32"/>
        </w:rPr>
        <w:t>号）；</w:t>
      </w:r>
    </w:p>
    <w:p w14:paraId="49E20F6A">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3</w:t>
      </w:r>
      <w:r>
        <w:rPr>
          <w:rFonts w:hint="eastAsia" w:ascii="Times New Roman" w:hAnsi="Times New Roman" w:eastAsia="方正仿宋_GBK" w:cs="Times New Roman"/>
          <w:b w:val="0"/>
          <w:bCs w:val="0"/>
          <w:sz w:val="32"/>
          <w:szCs w:val="32"/>
        </w:rPr>
        <w:t>）《南京市生态保护补偿办法》；</w:t>
      </w:r>
    </w:p>
    <w:p w14:paraId="0E222F43">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4</w:t>
      </w:r>
      <w:r>
        <w:rPr>
          <w:rFonts w:hint="eastAsia" w:ascii="Times New Roman" w:hAnsi="Times New Roman" w:eastAsia="方正仿宋_GBK" w:cs="Times New Roman"/>
          <w:b w:val="0"/>
          <w:bCs w:val="0"/>
          <w:sz w:val="32"/>
          <w:szCs w:val="32"/>
        </w:rPr>
        <w:t>）其他相关资料。</w:t>
      </w:r>
    </w:p>
    <w:p w14:paraId="631EF010">
      <w:pPr>
        <w:widowControl w:val="0"/>
        <w:spacing w:line="560" w:lineRule="exact"/>
        <w:ind w:firstLine="632" w:firstLineChars="200"/>
        <w:outlineLvl w:val="1"/>
        <w:rPr>
          <w:rFonts w:ascii="方正仿宋_GBK" w:hAnsi="方正仿宋_GBK" w:eastAsia="方正仿宋_GBK" w:cs="方正仿宋_GBK"/>
          <w:b/>
          <w:bCs/>
          <w:color w:val="auto"/>
          <w:szCs w:val="32"/>
          <w:highlight w:val="none"/>
        </w:rPr>
      </w:pPr>
      <w:bookmarkStart w:id="30" w:name="_Toc3440_WPSOffice_Level1"/>
      <w:bookmarkStart w:id="31" w:name="_Toc23335_WPSOffice_Level1"/>
      <w:bookmarkStart w:id="32" w:name="_Toc19714"/>
      <w:r>
        <w:rPr>
          <w:rFonts w:hint="eastAsia" w:ascii="方正仿宋_GBK" w:hAnsi="方正仿宋_GBK" w:eastAsia="方正仿宋_GBK" w:cs="方正仿宋_GBK"/>
          <w:b/>
          <w:bCs/>
          <w:color w:val="auto"/>
          <w:szCs w:val="32"/>
          <w:highlight w:val="none"/>
        </w:rPr>
        <w:t>（三）评价原则</w:t>
      </w:r>
      <w:bookmarkEnd w:id="30"/>
      <w:bookmarkEnd w:id="31"/>
      <w:bookmarkEnd w:id="32"/>
    </w:p>
    <w:p w14:paraId="23089E37">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bookmarkStart w:id="33" w:name="_Toc4617_WPSOffice_Level2"/>
      <w:bookmarkStart w:id="34" w:name="_Toc3334_WPSOffice_Level2"/>
      <w:r>
        <w:rPr>
          <w:rFonts w:ascii="Times New Roman" w:hAnsi="Times New Roman" w:eastAsia="方正仿宋_GBK" w:cs="Times New Roman"/>
          <w:b w:val="0"/>
          <w:bCs w:val="0"/>
          <w:sz w:val="32"/>
          <w:szCs w:val="32"/>
        </w:rPr>
        <w:t>1.</w:t>
      </w:r>
      <w:r>
        <w:rPr>
          <w:rFonts w:hint="eastAsia" w:ascii="Times New Roman" w:hAnsi="Times New Roman" w:eastAsia="方正仿宋_GBK" w:cs="Times New Roman"/>
          <w:b w:val="0"/>
          <w:bCs w:val="0"/>
          <w:sz w:val="32"/>
          <w:szCs w:val="32"/>
        </w:rPr>
        <w:t>科学规范原则。注重财政支出的经济性、效率性和有效性，采用定量与定性相结合的方法。</w:t>
      </w:r>
    </w:p>
    <w:p w14:paraId="36D24392">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2.</w:t>
      </w:r>
      <w:r>
        <w:rPr>
          <w:rFonts w:hint="eastAsia" w:ascii="Times New Roman" w:hAnsi="Times New Roman" w:eastAsia="方正仿宋_GBK" w:cs="Times New Roman"/>
          <w:b w:val="0"/>
          <w:bCs w:val="0"/>
          <w:sz w:val="32"/>
          <w:szCs w:val="32"/>
        </w:rPr>
        <w:t>公开公正原则。客观、公正，标准统一、数据资料真实可靠，公开并接受监督。</w:t>
      </w:r>
    </w:p>
    <w:p w14:paraId="5E2B9F3A">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3.</w:t>
      </w:r>
      <w:r>
        <w:rPr>
          <w:rFonts w:hint="eastAsia" w:ascii="Times New Roman" w:hAnsi="Times New Roman" w:eastAsia="方正仿宋_GBK" w:cs="Times New Roman"/>
          <w:b w:val="0"/>
          <w:bCs w:val="0"/>
          <w:sz w:val="32"/>
          <w:szCs w:val="32"/>
        </w:rPr>
        <w:t>统一管理原则。自觉接受财政部门统一组织管理。</w:t>
      </w:r>
    </w:p>
    <w:p w14:paraId="120AFFDF">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4.</w:t>
      </w:r>
      <w:r>
        <w:rPr>
          <w:rFonts w:hint="eastAsia" w:ascii="Times New Roman" w:hAnsi="Times New Roman" w:eastAsia="方正仿宋_GBK" w:cs="Times New Roman"/>
          <w:b w:val="0"/>
          <w:bCs w:val="0"/>
          <w:sz w:val="32"/>
          <w:szCs w:val="32"/>
        </w:rPr>
        <w:t>绩效相关原则。针对具体投入及其产出绩效进行评价</w:t>
      </w:r>
      <w:r>
        <w:rPr>
          <w:rFonts w:ascii="Times New Roman" w:hAnsi="Times New Roman" w:eastAsia="方正仿宋_GBK" w:cs="Times New Roman"/>
          <w:b w:val="0"/>
          <w:bCs w:val="0"/>
          <w:sz w:val="32"/>
          <w:szCs w:val="32"/>
        </w:rPr>
        <w:t>,</w:t>
      </w:r>
      <w:r>
        <w:rPr>
          <w:rFonts w:hint="eastAsia" w:ascii="Times New Roman" w:hAnsi="Times New Roman" w:eastAsia="方正仿宋_GBK" w:cs="Times New Roman"/>
          <w:b w:val="0"/>
          <w:bCs w:val="0"/>
          <w:sz w:val="32"/>
          <w:szCs w:val="32"/>
        </w:rPr>
        <w:t>结果清晰反映投入和绩效之间的对应关系。</w:t>
      </w:r>
    </w:p>
    <w:p w14:paraId="64AD47CB">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5.</w:t>
      </w:r>
      <w:r>
        <w:rPr>
          <w:rFonts w:hint="eastAsia" w:ascii="Times New Roman" w:hAnsi="Times New Roman" w:eastAsia="方正仿宋_GBK" w:cs="Times New Roman"/>
          <w:b w:val="0"/>
          <w:bCs w:val="0"/>
          <w:sz w:val="32"/>
          <w:szCs w:val="32"/>
        </w:rPr>
        <w:t>问题导向原则。发现问题、分析问题和解决问题，程序与结果并重。</w:t>
      </w:r>
    </w:p>
    <w:bookmarkEnd w:id="33"/>
    <w:bookmarkEnd w:id="34"/>
    <w:p w14:paraId="19AD3ECB">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p>
    <w:p w14:paraId="656C5981">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附件：</w:t>
      </w:r>
      <w:r>
        <w:rPr>
          <w:rFonts w:ascii="Times New Roman" w:hAnsi="Times New Roman" w:eastAsia="方正仿宋_GBK" w:cs="Times New Roman"/>
          <w:b w:val="0"/>
          <w:bCs w:val="0"/>
          <w:sz w:val="32"/>
          <w:szCs w:val="32"/>
        </w:rPr>
        <w:t>202</w:t>
      </w:r>
      <w:r>
        <w:rPr>
          <w:rFonts w:hint="eastAsia" w:ascii="Times New Roman" w:hAnsi="Times New Roman" w:eastAsia="方正仿宋_GBK" w:cs="Times New Roman"/>
          <w:b w:val="0"/>
          <w:bCs w:val="0"/>
          <w:sz w:val="32"/>
          <w:szCs w:val="32"/>
          <w:lang w:val="en-US" w:eastAsia="zh-CN"/>
        </w:rPr>
        <w:t>4</w:t>
      </w:r>
      <w:r>
        <w:rPr>
          <w:rFonts w:hint="eastAsia" w:ascii="Times New Roman" w:hAnsi="Times New Roman" w:eastAsia="方正仿宋_GBK" w:cs="Times New Roman"/>
          <w:b w:val="0"/>
          <w:bCs w:val="0"/>
          <w:sz w:val="32"/>
          <w:szCs w:val="32"/>
        </w:rPr>
        <w:t>年度部门整体预算绩效自评价评分表</w:t>
      </w:r>
    </w:p>
    <w:p w14:paraId="5F61A568">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sectPr>
          <w:headerReference r:id="rId5" w:type="first"/>
          <w:footerReference r:id="rId8" w:type="first"/>
          <w:headerReference r:id="rId3" w:type="default"/>
          <w:footerReference r:id="rId6" w:type="default"/>
          <w:headerReference r:id="rId4" w:type="even"/>
          <w:footerReference r:id="rId7" w:type="even"/>
          <w:pgSz w:w="11907" w:h="16840"/>
          <w:pgMar w:top="1531" w:right="1531" w:bottom="1531" w:left="1531" w:header="851" w:footer="850" w:gutter="0"/>
          <w:pgNumType w:start="1"/>
          <w:cols w:space="720" w:num="1"/>
          <w:docGrid w:type="linesAndChars" w:linePitch="626" w:charSpace="-842"/>
        </w:sectPr>
      </w:pPr>
    </w:p>
    <w:p w14:paraId="351C6931">
      <w:pPr>
        <w:spacing w:line="320" w:lineRule="exact"/>
        <w:jc w:val="center"/>
        <w:rPr>
          <w:rFonts w:hint="eastAsia" w:ascii="黑体" w:hAnsi="黑体" w:eastAsia="黑体" w:cs="Calibri"/>
          <w:bCs/>
          <w:color w:val="auto"/>
          <w:szCs w:val="32"/>
          <w:highlight w:val="none"/>
        </w:rPr>
      </w:pPr>
      <w:bookmarkStart w:id="35" w:name="_Toc24329"/>
      <w:bookmarkStart w:id="36" w:name="_Toc1087"/>
      <w:r>
        <w:rPr>
          <w:rFonts w:ascii="黑体" w:hAnsi="黑体" w:eastAsia="黑体" w:cs="Calibri"/>
          <w:bCs/>
          <w:color w:val="auto"/>
          <w:szCs w:val="32"/>
          <w:highlight w:val="none"/>
        </w:rPr>
        <w:t>202</w:t>
      </w:r>
      <w:r>
        <w:rPr>
          <w:rFonts w:hint="eastAsia" w:ascii="黑体" w:hAnsi="黑体" w:eastAsia="黑体" w:cs="Calibri"/>
          <w:bCs/>
          <w:color w:val="auto"/>
          <w:szCs w:val="32"/>
          <w:highlight w:val="none"/>
          <w:lang w:val="en-US" w:eastAsia="zh-CN"/>
        </w:rPr>
        <w:t>4</w:t>
      </w:r>
      <w:r>
        <w:rPr>
          <w:rFonts w:hint="eastAsia" w:ascii="黑体" w:hAnsi="黑体" w:eastAsia="黑体" w:cs="Calibri"/>
          <w:bCs/>
          <w:color w:val="auto"/>
          <w:szCs w:val="32"/>
          <w:highlight w:val="none"/>
        </w:rPr>
        <w:t>年度部门整体预算绩效自评价</w:t>
      </w:r>
      <w:bookmarkEnd w:id="35"/>
      <w:bookmarkEnd w:id="36"/>
      <w:r>
        <w:rPr>
          <w:rFonts w:hint="eastAsia" w:ascii="黑体" w:hAnsi="黑体" w:eastAsia="黑体" w:cs="Calibri"/>
          <w:bCs/>
          <w:color w:val="auto"/>
          <w:szCs w:val="32"/>
          <w:highlight w:val="none"/>
        </w:rPr>
        <w:t>评分表</w:t>
      </w:r>
    </w:p>
    <w:tbl>
      <w:tblPr>
        <w:tblW w:w="135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906"/>
        <w:gridCol w:w="1695"/>
        <w:gridCol w:w="2325"/>
        <w:gridCol w:w="1170"/>
        <w:gridCol w:w="780"/>
        <w:gridCol w:w="3540"/>
        <w:gridCol w:w="990"/>
        <w:gridCol w:w="765"/>
        <w:gridCol w:w="1395"/>
      </w:tblGrid>
      <w:tr w14:paraId="731DE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4926" w:type="dxa"/>
            <w:gridSpan w:val="3"/>
            <w:tcBorders>
              <w:top w:val="single" w:color="000000" w:sz="4" w:space="0"/>
              <w:left w:val="single" w:color="000000" w:sz="4" w:space="0"/>
              <w:bottom w:val="single" w:color="000000" w:sz="4" w:space="0"/>
              <w:right w:val="single" w:color="000000" w:sz="4" w:space="0"/>
            </w:tcBorders>
            <w:shd w:val="clear"/>
            <w:vAlign w:val="center"/>
          </w:tcPr>
          <w:p w14:paraId="1E352AD4">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评价指标</w:t>
            </w:r>
          </w:p>
        </w:tc>
        <w:tc>
          <w:tcPr>
            <w:tcW w:w="117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946F9F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目标值</w:t>
            </w:r>
          </w:p>
        </w:tc>
        <w:tc>
          <w:tcPr>
            <w:tcW w:w="7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FA684B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权重</w:t>
            </w:r>
          </w:p>
        </w:tc>
        <w:tc>
          <w:tcPr>
            <w:tcW w:w="3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7F94C0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评分依据</w:t>
            </w:r>
          </w:p>
        </w:tc>
        <w:tc>
          <w:tcPr>
            <w:tcW w:w="99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446573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完成值</w:t>
            </w:r>
          </w:p>
        </w:tc>
        <w:tc>
          <w:tcPr>
            <w:tcW w:w="76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289DE5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得分</w:t>
            </w:r>
          </w:p>
        </w:tc>
        <w:tc>
          <w:tcPr>
            <w:tcW w:w="13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D3C3B9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未完成原因分析</w:t>
            </w:r>
          </w:p>
        </w:tc>
      </w:tr>
      <w:tr w14:paraId="6449D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06" w:type="dxa"/>
            <w:tcBorders>
              <w:top w:val="single" w:color="000000" w:sz="4" w:space="0"/>
              <w:left w:val="single" w:color="000000" w:sz="4" w:space="0"/>
              <w:bottom w:val="single" w:color="000000" w:sz="4" w:space="0"/>
              <w:right w:val="single" w:color="000000" w:sz="4" w:space="0"/>
            </w:tcBorders>
            <w:shd w:val="clear"/>
            <w:vAlign w:val="center"/>
          </w:tcPr>
          <w:p w14:paraId="0A2A5E3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一级指标</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19A13D9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二级指标</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14:paraId="47B93BE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三级指标</w:t>
            </w:r>
          </w:p>
        </w:tc>
        <w:tc>
          <w:tcPr>
            <w:tcW w:w="117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356E0DB">
            <w:pPr>
              <w:jc w:val="center"/>
              <w:rPr>
                <w:rFonts w:hint="eastAsia" w:ascii="黑体" w:hAnsi="宋体" w:eastAsia="黑体" w:cs="黑体"/>
                <w:i w:val="0"/>
                <w:iCs w:val="0"/>
                <w:color w:val="000000"/>
                <w:sz w:val="24"/>
                <w:szCs w:val="24"/>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509693">
            <w:pPr>
              <w:jc w:val="center"/>
              <w:rPr>
                <w:rFonts w:hint="eastAsia" w:ascii="黑体" w:hAnsi="宋体" w:eastAsia="黑体" w:cs="黑体"/>
                <w:i w:val="0"/>
                <w:iCs w:val="0"/>
                <w:color w:val="000000"/>
                <w:sz w:val="24"/>
                <w:szCs w:val="24"/>
                <w:u w:val="none"/>
              </w:rPr>
            </w:pPr>
          </w:p>
        </w:tc>
        <w:tc>
          <w:tcPr>
            <w:tcW w:w="3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973A28">
            <w:pPr>
              <w:jc w:val="center"/>
              <w:rPr>
                <w:rFonts w:hint="eastAsia" w:ascii="黑体" w:hAnsi="宋体" w:eastAsia="黑体" w:cs="黑体"/>
                <w:i w:val="0"/>
                <w:iCs w:val="0"/>
                <w:color w:val="000000"/>
                <w:sz w:val="24"/>
                <w:szCs w:val="24"/>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F755E2B">
            <w:pPr>
              <w:jc w:val="center"/>
              <w:rPr>
                <w:rFonts w:hint="eastAsia" w:ascii="黑体" w:hAnsi="宋体" w:eastAsia="黑体" w:cs="黑体"/>
                <w:i w:val="0"/>
                <w:iCs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524DD04">
            <w:pPr>
              <w:jc w:val="center"/>
              <w:rPr>
                <w:rFonts w:hint="eastAsia" w:ascii="黑体" w:hAnsi="宋体" w:eastAsia="黑体" w:cs="黑体"/>
                <w:i w:val="0"/>
                <w:iCs w:val="0"/>
                <w:color w:val="000000"/>
                <w:sz w:val="24"/>
                <w:szCs w:val="24"/>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5EEDF83">
            <w:pPr>
              <w:jc w:val="center"/>
              <w:rPr>
                <w:rFonts w:hint="eastAsia" w:ascii="黑体" w:hAnsi="宋体" w:eastAsia="黑体" w:cs="黑体"/>
                <w:i w:val="0"/>
                <w:iCs w:val="0"/>
                <w:color w:val="000000"/>
                <w:sz w:val="24"/>
                <w:szCs w:val="24"/>
                <w:u w:val="none"/>
              </w:rPr>
            </w:pPr>
          </w:p>
        </w:tc>
      </w:tr>
      <w:tr w14:paraId="20300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6" w:type="dxa"/>
            <w:vMerge w:val="restart"/>
            <w:tcBorders>
              <w:top w:val="single" w:color="000000" w:sz="4" w:space="0"/>
              <w:left w:val="single" w:color="000000" w:sz="4" w:space="0"/>
              <w:bottom w:val="single" w:color="000000" w:sz="4" w:space="0"/>
              <w:right w:val="single" w:color="000000" w:sz="4" w:space="0"/>
            </w:tcBorders>
            <w:shd w:val="clear"/>
            <w:vAlign w:val="center"/>
          </w:tcPr>
          <w:p w14:paraId="1B036C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决策</w:t>
            </w:r>
          </w:p>
        </w:tc>
        <w:tc>
          <w:tcPr>
            <w:tcW w:w="16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73928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计划制定</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14:paraId="023BC2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中长期规划制定健全性</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6469FA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健全</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160B7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14:paraId="6DC5D8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健全得满分，否则不得分</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1B62D9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健全</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14:paraId="473D7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020BF829">
            <w:pPr>
              <w:rPr>
                <w:rFonts w:hint="eastAsia" w:ascii="宋体" w:hAnsi="宋体" w:eastAsia="宋体" w:cs="宋体"/>
                <w:i w:val="0"/>
                <w:iCs w:val="0"/>
                <w:color w:val="000000"/>
                <w:sz w:val="22"/>
                <w:szCs w:val="22"/>
                <w:u w:val="none"/>
              </w:rPr>
            </w:pPr>
          </w:p>
        </w:tc>
      </w:tr>
      <w:tr w14:paraId="02C96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0EE3FC0">
            <w:pPr>
              <w:jc w:val="center"/>
              <w:rPr>
                <w:rFonts w:hint="eastAsia" w:ascii="宋体" w:hAnsi="宋体" w:eastAsia="宋体" w:cs="宋体"/>
                <w:i w:val="0"/>
                <w:iCs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9C3A2B5">
            <w:pPr>
              <w:jc w:val="center"/>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14:paraId="735CD9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工作计划制定健全性</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5F11EC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健全</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5139C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14:paraId="651D2F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健全得满分，否则不得分</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C7F22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健全</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14:paraId="0FB85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089AA050">
            <w:pPr>
              <w:rPr>
                <w:rFonts w:hint="eastAsia" w:ascii="宋体" w:hAnsi="宋体" w:eastAsia="宋体" w:cs="宋体"/>
                <w:i w:val="0"/>
                <w:iCs w:val="0"/>
                <w:color w:val="000000"/>
                <w:sz w:val="22"/>
                <w:szCs w:val="22"/>
                <w:u w:val="none"/>
              </w:rPr>
            </w:pPr>
          </w:p>
        </w:tc>
      </w:tr>
      <w:tr w14:paraId="6FFB9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122470D">
            <w:pPr>
              <w:jc w:val="center"/>
              <w:rPr>
                <w:rFonts w:hint="eastAsia" w:ascii="宋体" w:hAnsi="宋体" w:eastAsia="宋体" w:cs="宋体"/>
                <w:i w:val="0"/>
                <w:iCs w:val="0"/>
                <w:color w:val="000000"/>
                <w:sz w:val="18"/>
                <w:szCs w:val="18"/>
                <w:u w:val="none"/>
              </w:rPr>
            </w:pPr>
          </w:p>
        </w:tc>
        <w:tc>
          <w:tcPr>
            <w:tcW w:w="16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B2AF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目标设定</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14:paraId="452D7C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绩效目标合理性</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44D568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合理</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16A6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14:paraId="570D5D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合理得满分，否则不得分</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01772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合理</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14:paraId="07840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46134CEA">
            <w:pPr>
              <w:rPr>
                <w:rFonts w:hint="eastAsia" w:ascii="宋体" w:hAnsi="宋体" w:eastAsia="宋体" w:cs="宋体"/>
                <w:i w:val="0"/>
                <w:iCs w:val="0"/>
                <w:color w:val="000000"/>
                <w:sz w:val="22"/>
                <w:szCs w:val="22"/>
                <w:u w:val="none"/>
              </w:rPr>
            </w:pPr>
          </w:p>
        </w:tc>
      </w:tr>
      <w:tr w14:paraId="7FDF8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09432CB">
            <w:pPr>
              <w:jc w:val="center"/>
              <w:rPr>
                <w:rFonts w:hint="eastAsia" w:ascii="宋体" w:hAnsi="宋体" w:eastAsia="宋体" w:cs="宋体"/>
                <w:i w:val="0"/>
                <w:iCs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9B6DEEC">
            <w:pPr>
              <w:jc w:val="center"/>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14:paraId="45209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绩效指标明确性</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2E7572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明确</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BB3DD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14:paraId="3FA626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明确得满分，否则不得分</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2237F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明确</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14:paraId="0877A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4D9B39EF">
            <w:pPr>
              <w:rPr>
                <w:rFonts w:hint="eastAsia" w:ascii="宋体" w:hAnsi="宋体" w:eastAsia="宋体" w:cs="宋体"/>
                <w:i w:val="0"/>
                <w:iCs w:val="0"/>
                <w:color w:val="000000"/>
                <w:sz w:val="22"/>
                <w:szCs w:val="22"/>
                <w:u w:val="none"/>
              </w:rPr>
            </w:pPr>
          </w:p>
        </w:tc>
      </w:tr>
      <w:tr w14:paraId="4ABFD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238AA8">
            <w:pPr>
              <w:jc w:val="center"/>
              <w:rPr>
                <w:rFonts w:hint="eastAsia" w:ascii="宋体" w:hAnsi="宋体" w:eastAsia="宋体" w:cs="宋体"/>
                <w:i w:val="0"/>
                <w:iCs w:val="0"/>
                <w:color w:val="000000"/>
                <w:sz w:val="18"/>
                <w:szCs w:val="18"/>
                <w:u w:val="none"/>
              </w:rPr>
            </w:pPr>
          </w:p>
        </w:tc>
        <w:tc>
          <w:tcPr>
            <w:tcW w:w="16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51063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预算编制</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14:paraId="3E902A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预算编制科学性</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78CA79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科学</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A0BD7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14:paraId="06425A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科学得满分，否则不得分</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2B897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科学</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14:paraId="5037E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5E6C90D4">
            <w:pPr>
              <w:rPr>
                <w:rFonts w:hint="eastAsia" w:ascii="宋体" w:hAnsi="宋体" w:eastAsia="宋体" w:cs="宋体"/>
                <w:i w:val="0"/>
                <w:iCs w:val="0"/>
                <w:color w:val="000000"/>
                <w:sz w:val="22"/>
                <w:szCs w:val="22"/>
                <w:u w:val="none"/>
              </w:rPr>
            </w:pPr>
          </w:p>
        </w:tc>
      </w:tr>
      <w:tr w14:paraId="52BB6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3C3322F">
            <w:pPr>
              <w:jc w:val="center"/>
              <w:rPr>
                <w:rFonts w:hint="eastAsia" w:ascii="宋体" w:hAnsi="宋体" w:eastAsia="宋体" w:cs="宋体"/>
                <w:i w:val="0"/>
                <w:iCs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29F5F6A">
            <w:pPr>
              <w:jc w:val="center"/>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14:paraId="26D35E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预算编制规范性</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343647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规范</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92C8E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14:paraId="263463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规范得满分，否则不得分</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4BC29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规范</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14:paraId="43AFB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25062443">
            <w:pPr>
              <w:rPr>
                <w:rFonts w:hint="eastAsia" w:ascii="宋体" w:hAnsi="宋体" w:eastAsia="宋体" w:cs="宋体"/>
                <w:i w:val="0"/>
                <w:iCs w:val="0"/>
                <w:color w:val="000000"/>
                <w:sz w:val="22"/>
                <w:szCs w:val="22"/>
                <w:u w:val="none"/>
              </w:rPr>
            </w:pPr>
          </w:p>
        </w:tc>
      </w:tr>
      <w:tr w14:paraId="77B7A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6" w:type="dxa"/>
            <w:vMerge w:val="restart"/>
            <w:tcBorders>
              <w:top w:val="single" w:color="000000" w:sz="4" w:space="0"/>
              <w:left w:val="single" w:color="000000" w:sz="4" w:space="0"/>
              <w:bottom w:val="single" w:color="000000" w:sz="4" w:space="0"/>
              <w:right w:val="single" w:color="000000" w:sz="4" w:space="0"/>
            </w:tcBorders>
            <w:shd w:val="clear"/>
            <w:vAlign w:val="center"/>
          </w:tcPr>
          <w:p w14:paraId="66AE7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过程</w:t>
            </w:r>
          </w:p>
        </w:tc>
        <w:tc>
          <w:tcPr>
            <w:tcW w:w="16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9AC6E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预算执行</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14:paraId="79AE19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预算调整率</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25A71A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3FBFE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14:paraId="60BB95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合规得满分，否则不得分</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800FD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14:paraId="7DFE44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01E2BA07">
            <w:pPr>
              <w:rPr>
                <w:rFonts w:hint="eastAsia" w:ascii="宋体" w:hAnsi="宋体" w:eastAsia="宋体" w:cs="宋体"/>
                <w:i w:val="0"/>
                <w:iCs w:val="0"/>
                <w:color w:val="000000"/>
                <w:sz w:val="22"/>
                <w:szCs w:val="22"/>
                <w:u w:val="none"/>
              </w:rPr>
            </w:pPr>
          </w:p>
        </w:tc>
      </w:tr>
      <w:tr w14:paraId="79B01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1BE2AA6">
            <w:pPr>
              <w:jc w:val="center"/>
              <w:rPr>
                <w:rFonts w:hint="eastAsia" w:ascii="宋体" w:hAnsi="宋体" w:eastAsia="宋体" w:cs="宋体"/>
                <w:i w:val="0"/>
                <w:iCs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5905D86">
            <w:pPr>
              <w:jc w:val="center"/>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14:paraId="4058C4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支付进度符合率</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3391E7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16E00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14:paraId="77DF4C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合规得满分，否则不得分</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23BEF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14:paraId="1D62D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40CCF115">
            <w:pPr>
              <w:rPr>
                <w:rFonts w:hint="eastAsia" w:ascii="宋体" w:hAnsi="宋体" w:eastAsia="宋体" w:cs="宋体"/>
                <w:i w:val="0"/>
                <w:iCs w:val="0"/>
                <w:color w:val="000000"/>
                <w:sz w:val="22"/>
                <w:szCs w:val="22"/>
                <w:u w:val="none"/>
              </w:rPr>
            </w:pPr>
          </w:p>
        </w:tc>
      </w:tr>
      <w:tr w14:paraId="59824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9DABDC">
            <w:pPr>
              <w:jc w:val="center"/>
              <w:rPr>
                <w:rFonts w:hint="eastAsia" w:ascii="宋体" w:hAnsi="宋体" w:eastAsia="宋体" w:cs="宋体"/>
                <w:i w:val="0"/>
                <w:iCs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D38E24C">
            <w:pPr>
              <w:jc w:val="center"/>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14:paraId="74D497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预算执行率</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0C8F14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FB1F4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14:paraId="799FF0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达到100%得2分，如未完成按相应比例扣分</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2774D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14:paraId="426E9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1CD91C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财政预算执行率为96.08%</w:t>
            </w:r>
          </w:p>
        </w:tc>
      </w:tr>
      <w:tr w14:paraId="69B86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4048DF7">
            <w:pPr>
              <w:jc w:val="center"/>
              <w:rPr>
                <w:rFonts w:hint="eastAsia" w:ascii="宋体" w:hAnsi="宋体" w:eastAsia="宋体" w:cs="宋体"/>
                <w:i w:val="0"/>
                <w:iCs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40605EE">
            <w:pPr>
              <w:jc w:val="center"/>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14:paraId="002445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结转结余率</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69AB66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9F798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14:paraId="4BF5CA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合规得满分，否则不得分</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1C0A46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14:paraId="50F81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67E34CAC">
            <w:pPr>
              <w:rPr>
                <w:rFonts w:hint="eastAsia" w:ascii="宋体" w:hAnsi="宋体" w:eastAsia="宋体" w:cs="宋体"/>
                <w:i w:val="0"/>
                <w:iCs w:val="0"/>
                <w:color w:val="000000"/>
                <w:sz w:val="22"/>
                <w:szCs w:val="22"/>
                <w:u w:val="none"/>
              </w:rPr>
            </w:pPr>
          </w:p>
        </w:tc>
      </w:tr>
      <w:tr w14:paraId="092AF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FB9E3D4">
            <w:pPr>
              <w:jc w:val="center"/>
              <w:rPr>
                <w:rFonts w:hint="eastAsia" w:ascii="宋体" w:hAnsi="宋体" w:eastAsia="宋体" w:cs="宋体"/>
                <w:i w:val="0"/>
                <w:iCs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A62CCF4">
            <w:pPr>
              <w:jc w:val="center"/>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14:paraId="10FD9D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公用经费控制率</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7C6B89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DC088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14:paraId="7E85FC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合规得满分，否则按相应比例扣分</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73BE9C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14:paraId="65B588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1DB5F96E">
            <w:pPr>
              <w:rPr>
                <w:rFonts w:hint="eastAsia" w:ascii="宋体" w:hAnsi="宋体" w:eastAsia="宋体" w:cs="宋体"/>
                <w:i w:val="0"/>
                <w:iCs w:val="0"/>
                <w:color w:val="000000"/>
                <w:sz w:val="22"/>
                <w:szCs w:val="22"/>
                <w:u w:val="none"/>
              </w:rPr>
            </w:pPr>
          </w:p>
        </w:tc>
      </w:tr>
      <w:tr w14:paraId="3A127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BCA0D71">
            <w:pPr>
              <w:jc w:val="center"/>
              <w:rPr>
                <w:rFonts w:hint="eastAsia" w:ascii="宋体" w:hAnsi="宋体" w:eastAsia="宋体" w:cs="宋体"/>
                <w:i w:val="0"/>
                <w:iCs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4F4020C">
            <w:pPr>
              <w:jc w:val="center"/>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14:paraId="3DB55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“三公经费”变动率</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07F36F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0A7B3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14:paraId="050260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经费使用未超支得满分，否则不得分</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05E08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14:paraId="20804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39BD30BF">
            <w:pPr>
              <w:rPr>
                <w:rFonts w:hint="eastAsia" w:ascii="宋体" w:hAnsi="宋体" w:eastAsia="宋体" w:cs="宋体"/>
                <w:i w:val="0"/>
                <w:iCs w:val="0"/>
                <w:color w:val="000000"/>
                <w:sz w:val="22"/>
                <w:szCs w:val="22"/>
                <w:u w:val="none"/>
              </w:rPr>
            </w:pPr>
          </w:p>
        </w:tc>
      </w:tr>
      <w:tr w14:paraId="66546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9514A68">
            <w:pPr>
              <w:jc w:val="center"/>
              <w:rPr>
                <w:rFonts w:hint="eastAsia" w:ascii="宋体" w:hAnsi="宋体" w:eastAsia="宋体" w:cs="宋体"/>
                <w:i w:val="0"/>
                <w:iCs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5571BDE">
            <w:pPr>
              <w:jc w:val="center"/>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14:paraId="3B5C7E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政府采购执行率</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0ADBA0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24FED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14:paraId="5EE1DD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达到100%得2分，如未完成按相应比例扣分</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4FA43D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14:paraId="20AD35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44E6522D">
            <w:pPr>
              <w:rPr>
                <w:rFonts w:hint="eastAsia" w:ascii="宋体" w:hAnsi="宋体" w:eastAsia="宋体" w:cs="宋体"/>
                <w:i w:val="0"/>
                <w:iCs w:val="0"/>
                <w:color w:val="000000"/>
                <w:sz w:val="22"/>
                <w:szCs w:val="22"/>
                <w:u w:val="none"/>
              </w:rPr>
            </w:pPr>
          </w:p>
        </w:tc>
      </w:tr>
      <w:tr w14:paraId="052E8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F51E9D6">
            <w:pPr>
              <w:jc w:val="center"/>
              <w:rPr>
                <w:rFonts w:hint="eastAsia" w:ascii="宋体" w:hAnsi="宋体" w:eastAsia="宋体" w:cs="宋体"/>
                <w:i w:val="0"/>
                <w:iCs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6ECCA5C">
            <w:pPr>
              <w:jc w:val="center"/>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14:paraId="6CD130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非税收入预算完成率</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3FFE5B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89675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14:paraId="766170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达到100%得1分，如未完成按相应比例扣分</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1FEBB8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14:paraId="3ADC0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55FB2BF3">
            <w:pPr>
              <w:rPr>
                <w:rFonts w:hint="eastAsia" w:ascii="宋体" w:hAnsi="宋体" w:eastAsia="宋体" w:cs="宋体"/>
                <w:i w:val="0"/>
                <w:iCs w:val="0"/>
                <w:color w:val="000000"/>
                <w:sz w:val="22"/>
                <w:szCs w:val="22"/>
                <w:u w:val="none"/>
              </w:rPr>
            </w:pPr>
          </w:p>
        </w:tc>
      </w:tr>
      <w:tr w14:paraId="7CA9C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A654717">
            <w:pPr>
              <w:jc w:val="center"/>
              <w:rPr>
                <w:rFonts w:hint="eastAsia" w:ascii="宋体" w:hAnsi="宋体" w:eastAsia="宋体" w:cs="宋体"/>
                <w:i w:val="0"/>
                <w:iCs w:val="0"/>
                <w:color w:val="000000"/>
                <w:sz w:val="18"/>
                <w:szCs w:val="18"/>
                <w:u w:val="none"/>
              </w:rPr>
            </w:pPr>
          </w:p>
        </w:tc>
        <w:tc>
          <w:tcPr>
            <w:tcW w:w="16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AEC97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预算管理</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14:paraId="67CAE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预算管理制度健全性</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59457B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健全</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343DA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14:paraId="536AC0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健全得满分，否则不得分</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A933A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健全</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14:paraId="3AC2A4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15C00D38">
            <w:pPr>
              <w:rPr>
                <w:rFonts w:hint="eastAsia" w:ascii="宋体" w:hAnsi="宋体" w:eastAsia="宋体" w:cs="宋体"/>
                <w:i w:val="0"/>
                <w:iCs w:val="0"/>
                <w:color w:val="000000"/>
                <w:sz w:val="22"/>
                <w:szCs w:val="22"/>
                <w:u w:val="none"/>
              </w:rPr>
            </w:pPr>
          </w:p>
        </w:tc>
      </w:tr>
      <w:tr w14:paraId="4770C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1E13A7B">
            <w:pPr>
              <w:jc w:val="center"/>
              <w:rPr>
                <w:rFonts w:hint="eastAsia" w:ascii="宋体" w:hAnsi="宋体" w:eastAsia="宋体" w:cs="宋体"/>
                <w:i w:val="0"/>
                <w:iCs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EFE41F2">
            <w:pPr>
              <w:jc w:val="center"/>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14:paraId="25C5E7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资金使用合规性</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440153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合规</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7ECFD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14:paraId="62D19F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合规得满分，否则不得分</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40E64B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合规</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14:paraId="5A9BF1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262D69AA">
            <w:pPr>
              <w:rPr>
                <w:rFonts w:hint="eastAsia" w:ascii="宋体" w:hAnsi="宋体" w:eastAsia="宋体" w:cs="宋体"/>
                <w:i w:val="0"/>
                <w:iCs w:val="0"/>
                <w:color w:val="000000"/>
                <w:sz w:val="22"/>
                <w:szCs w:val="22"/>
                <w:u w:val="none"/>
              </w:rPr>
            </w:pPr>
          </w:p>
        </w:tc>
      </w:tr>
      <w:tr w14:paraId="52DB3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1FAC5B7">
            <w:pPr>
              <w:jc w:val="center"/>
              <w:rPr>
                <w:rFonts w:hint="eastAsia" w:ascii="宋体" w:hAnsi="宋体" w:eastAsia="宋体" w:cs="宋体"/>
                <w:i w:val="0"/>
                <w:iCs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2F8214B">
            <w:pPr>
              <w:jc w:val="center"/>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14:paraId="23658B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绩效管理覆盖率</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09AFBA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82A9E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14:paraId="41AF76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全面覆盖得满分，否则按相应比例扣分</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C2078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14:paraId="2E2B6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221918BB">
            <w:pPr>
              <w:rPr>
                <w:rFonts w:hint="eastAsia" w:ascii="宋体" w:hAnsi="宋体" w:eastAsia="宋体" w:cs="宋体"/>
                <w:i w:val="0"/>
                <w:iCs w:val="0"/>
                <w:color w:val="000000"/>
                <w:sz w:val="22"/>
                <w:szCs w:val="22"/>
                <w:u w:val="none"/>
              </w:rPr>
            </w:pPr>
          </w:p>
        </w:tc>
      </w:tr>
      <w:tr w14:paraId="21440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D65F73D">
            <w:pPr>
              <w:jc w:val="center"/>
              <w:rPr>
                <w:rFonts w:hint="eastAsia" w:ascii="宋体" w:hAnsi="宋体" w:eastAsia="宋体" w:cs="宋体"/>
                <w:i w:val="0"/>
                <w:iCs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81E4C61">
            <w:pPr>
              <w:jc w:val="center"/>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14:paraId="050894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基础信息完善性</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373818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完善</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07A37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14:paraId="44B49C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完善得满分，否则按相应比例扣分</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160B72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完善</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14:paraId="1B8A1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3B05CADD">
            <w:pPr>
              <w:rPr>
                <w:rFonts w:hint="eastAsia" w:ascii="宋体" w:hAnsi="宋体" w:eastAsia="宋体" w:cs="宋体"/>
                <w:i w:val="0"/>
                <w:iCs w:val="0"/>
                <w:color w:val="000000"/>
                <w:sz w:val="22"/>
                <w:szCs w:val="22"/>
                <w:u w:val="none"/>
              </w:rPr>
            </w:pPr>
          </w:p>
        </w:tc>
      </w:tr>
      <w:tr w14:paraId="12E1F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A0EF72">
            <w:pPr>
              <w:jc w:val="center"/>
              <w:rPr>
                <w:rFonts w:hint="eastAsia" w:ascii="宋体" w:hAnsi="宋体" w:eastAsia="宋体" w:cs="宋体"/>
                <w:i w:val="0"/>
                <w:iCs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658604D">
            <w:pPr>
              <w:jc w:val="center"/>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14:paraId="2D905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预决算信息公开度</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11133E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公开</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332FC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14:paraId="418879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按规定公开得满分，否则按相应比例扣分</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0EFBA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公开</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14:paraId="58CC79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31651F7E">
            <w:pPr>
              <w:rPr>
                <w:rFonts w:hint="eastAsia" w:ascii="宋体" w:hAnsi="宋体" w:eastAsia="宋体" w:cs="宋体"/>
                <w:i w:val="0"/>
                <w:iCs w:val="0"/>
                <w:color w:val="000000"/>
                <w:sz w:val="22"/>
                <w:szCs w:val="22"/>
                <w:u w:val="none"/>
              </w:rPr>
            </w:pPr>
          </w:p>
        </w:tc>
      </w:tr>
      <w:tr w14:paraId="26524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DCC8BED">
            <w:pPr>
              <w:jc w:val="center"/>
              <w:rPr>
                <w:rFonts w:hint="eastAsia" w:ascii="宋体" w:hAnsi="宋体" w:eastAsia="宋体" w:cs="宋体"/>
                <w:i w:val="0"/>
                <w:iCs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55748CD">
            <w:pPr>
              <w:jc w:val="center"/>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14:paraId="65350D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非税收入管理合规性</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558E85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合规</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13453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14:paraId="0E57C8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合规得满分，否则按相应比例扣分</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24FE86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合规</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14:paraId="49ED0E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4755F8AA">
            <w:pPr>
              <w:rPr>
                <w:rFonts w:hint="eastAsia" w:ascii="宋体" w:hAnsi="宋体" w:eastAsia="宋体" w:cs="宋体"/>
                <w:i w:val="0"/>
                <w:iCs w:val="0"/>
                <w:color w:val="000000"/>
                <w:sz w:val="22"/>
                <w:szCs w:val="22"/>
                <w:u w:val="none"/>
              </w:rPr>
            </w:pPr>
          </w:p>
        </w:tc>
      </w:tr>
      <w:tr w14:paraId="49C8E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01F9398">
            <w:pPr>
              <w:jc w:val="center"/>
              <w:rPr>
                <w:rFonts w:hint="eastAsia" w:ascii="宋体" w:hAnsi="宋体" w:eastAsia="宋体" w:cs="宋体"/>
                <w:i w:val="0"/>
                <w:iCs w:val="0"/>
                <w:color w:val="000000"/>
                <w:sz w:val="18"/>
                <w:szCs w:val="18"/>
                <w:u w:val="none"/>
              </w:rPr>
            </w:pPr>
          </w:p>
        </w:tc>
        <w:tc>
          <w:tcPr>
            <w:tcW w:w="16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D73A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资产管理</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14:paraId="7A4FAB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资产管理制度健全性</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08526C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健全</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619AB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14:paraId="38F437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健全得满分，否则按相应比例扣分</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F0312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健全</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14:paraId="53437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5E5CEF44">
            <w:pPr>
              <w:rPr>
                <w:rFonts w:hint="eastAsia" w:ascii="宋体" w:hAnsi="宋体" w:eastAsia="宋体" w:cs="宋体"/>
                <w:i w:val="0"/>
                <w:iCs w:val="0"/>
                <w:color w:val="000000"/>
                <w:sz w:val="22"/>
                <w:szCs w:val="22"/>
                <w:u w:val="none"/>
              </w:rPr>
            </w:pPr>
          </w:p>
        </w:tc>
      </w:tr>
      <w:tr w14:paraId="39F11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909FC1C">
            <w:pPr>
              <w:jc w:val="center"/>
              <w:rPr>
                <w:rFonts w:hint="eastAsia" w:ascii="宋体" w:hAnsi="宋体" w:eastAsia="宋体" w:cs="宋体"/>
                <w:i w:val="0"/>
                <w:iCs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6FB7490">
            <w:pPr>
              <w:jc w:val="center"/>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14:paraId="4E464C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资产管理规范性</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72E84F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规范</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567C2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14:paraId="7CE8C6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规范得满分，否则按相应比例扣分</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AA701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规范</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14:paraId="33E2C9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0ED7E41A">
            <w:pPr>
              <w:rPr>
                <w:rFonts w:hint="eastAsia" w:ascii="宋体" w:hAnsi="宋体" w:eastAsia="宋体" w:cs="宋体"/>
                <w:i w:val="0"/>
                <w:iCs w:val="0"/>
                <w:color w:val="000000"/>
                <w:sz w:val="22"/>
                <w:szCs w:val="22"/>
                <w:u w:val="none"/>
              </w:rPr>
            </w:pPr>
          </w:p>
        </w:tc>
      </w:tr>
      <w:tr w14:paraId="0D3F8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A466AD3">
            <w:pPr>
              <w:jc w:val="center"/>
              <w:rPr>
                <w:rFonts w:hint="eastAsia" w:ascii="宋体" w:hAnsi="宋体" w:eastAsia="宋体" w:cs="宋体"/>
                <w:i w:val="0"/>
                <w:iCs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3FC4580">
            <w:pPr>
              <w:jc w:val="center"/>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14:paraId="3F4B0B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固定资产利用率</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565E67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E6410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14:paraId="2F9474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达到100%得2分，如未完成按相应比例扣分</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FE0E6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14:paraId="59D54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0BF9115A">
            <w:pPr>
              <w:rPr>
                <w:rFonts w:hint="eastAsia" w:ascii="宋体" w:hAnsi="宋体" w:eastAsia="宋体" w:cs="宋体"/>
                <w:i w:val="0"/>
                <w:iCs w:val="0"/>
                <w:color w:val="000000"/>
                <w:sz w:val="22"/>
                <w:szCs w:val="22"/>
                <w:u w:val="none"/>
              </w:rPr>
            </w:pPr>
          </w:p>
        </w:tc>
      </w:tr>
      <w:tr w14:paraId="09C1B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B5DA2C7">
            <w:pPr>
              <w:jc w:val="center"/>
              <w:rPr>
                <w:rFonts w:hint="eastAsia" w:ascii="宋体" w:hAnsi="宋体" w:eastAsia="宋体" w:cs="宋体"/>
                <w:i w:val="0"/>
                <w:iCs w:val="0"/>
                <w:color w:val="000000"/>
                <w:sz w:val="18"/>
                <w:szCs w:val="18"/>
                <w:u w:val="none"/>
              </w:rPr>
            </w:pPr>
          </w:p>
        </w:tc>
        <w:tc>
          <w:tcPr>
            <w:tcW w:w="16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3F39A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项目管理</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14:paraId="08C1B2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项目管理制度健全性</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19855B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健全</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C58EE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14:paraId="6ED7D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健全得满分，否则按相应比例扣分</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27E4BE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健全</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14:paraId="0C7085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2397339A">
            <w:pPr>
              <w:rPr>
                <w:rFonts w:hint="eastAsia" w:ascii="宋体" w:hAnsi="宋体" w:eastAsia="宋体" w:cs="宋体"/>
                <w:i w:val="0"/>
                <w:iCs w:val="0"/>
                <w:color w:val="000000"/>
                <w:sz w:val="22"/>
                <w:szCs w:val="22"/>
                <w:u w:val="none"/>
              </w:rPr>
            </w:pPr>
          </w:p>
        </w:tc>
      </w:tr>
      <w:tr w14:paraId="3EF5D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323B5DC">
            <w:pPr>
              <w:jc w:val="center"/>
              <w:rPr>
                <w:rFonts w:hint="eastAsia" w:ascii="宋体" w:hAnsi="宋体" w:eastAsia="宋体" w:cs="宋体"/>
                <w:i w:val="0"/>
                <w:iCs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09AC719">
            <w:pPr>
              <w:jc w:val="center"/>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14:paraId="4218BC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项目管理制度执行规范性</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71660B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规范</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06411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14:paraId="5DCB8B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规范得满分，否则按相应比例扣分</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AB095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规范</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14:paraId="2AF465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79B3A054">
            <w:pPr>
              <w:rPr>
                <w:rFonts w:hint="eastAsia" w:ascii="宋体" w:hAnsi="宋体" w:eastAsia="宋体" w:cs="宋体"/>
                <w:i w:val="0"/>
                <w:iCs w:val="0"/>
                <w:color w:val="000000"/>
                <w:sz w:val="22"/>
                <w:szCs w:val="22"/>
                <w:u w:val="none"/>
              </w:rPr>
            </w:pPr>
          </w:p>
        </w:tc>
      </w:tr>
      <w:tr w14:paraId="2B198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964851C">
            <w:pPr>
              <w:jc w:val="center"/>
              <w:rPr>
                <w:rFonts w:hint="eastAsia" w:ascii="宋体" w:hAnsi="宋体" w:eastAsia="宋体" w:cs="宋体"/>
                <w:i w:val="0"/>
                <w:iCs w:val="0"/>
                <w:color w:val="000000"/>
                <w:sz w:val="18"/>
                <w:szCs w:val="18"/>
                <w:u w:val="none"/>
              </w:rPr>
            </w:pPr>
          </w:p>
        </w:tc>
        <w:tc>
          <w:tcPr>
            <w:tcW w:w="16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0DAC8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人员管理</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14:paraId="49077E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人员管理制度健全性</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412C40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健全</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82245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14:paraId="4C3FCF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健全得满分，否则按相应比例扣分</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6A982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健全</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14:paraId="0B7EDE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367F71D3">
            <w:pPr>
              <w:rPr>
                <w:rFonts w:hint="eastAsia" w:ascii="宋体" w:hAnsi="宋体" w:eastAsia="宋体" w:cs="宋体"/>
                <w:i w:val="0"/>
                <w:iCs w:val="0"/>
                <w:color w:val="000000"/>
                <w:sz w:val="22"/>
                <w:szCs w:val="22"/>
                <w:u w:val="none"/>
              </w:rPr>
            </w:pPr>
          </w:p>
        </w:tc>
      </w:tr>
      <w:tr w14:paraId="246D7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0F4F9E1">
            <w:pPr>
              <w:jc w:val="center"/>
              <w:rPr>
                <w:rFonts w:hint="eastAsia" w:ascii="宋体" w:hAnsi="宋体" w:eastAsia="宋体" w:cs="宋体"/>
                <w:i w:val="0"/>
                <w:iCs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A8B4F4C">
            <w:pPr>
              <w:jc w:val="center"/>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14:paraId="223B9B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人员管理制度执行有效性</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0146B1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有效</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D277B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14:paraId="2899F6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有效得满分，否则按相应比例扣分</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718A3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有效</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14:paraId="13C59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244B32E3">
            <w:pPr>
              <w:rPr>
                <w:rFonts w:hint="eastAsia" w:ascii="宋体" w:hAnsi="宋体" w:eastAsia="宋体" w:cs="宋体"/>
                <w:i w:val="0"/>
                <w:iCs w:val="0"/>
                <w:color w:val="000000"/>
                <w:sz w:val="22"/>
                <w:szCs w:val="22"/>
                <w:u w:val="none"/>
              </w:rPr>
            </w:pPr>
          </w:p>
        </w:tc>
      </w:tr>
      <w:tr w14:paraId="4D991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70C8A2E">
            <w:pPr>
              <w:jc w:val="center"/>
              <w:rPr>
                <w:rFonts w:hint="eastAsia" w:ascii="宋体" w:hAnsi="宋体" w:eastAsia="宋体" w:cs="宋体"/>
                <w:i w:val="0"/>
                <w:iCs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816C838">
            <w:pPr>
              <w:jc w:val="center"/>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14:paraId="0C1E1C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在职人员控制率</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64007F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06FF7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14:paraId="57B58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达到100%得2分，如未完成按相应比例扣分</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2D8417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14:paraId="53EFEE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71D24E89">
            <w:pPr>
              <w:rPr>
                <w:rFonts w:hint="eastAsia" w:ascii="宋体" w:hAnsi="宋体" w:eastAsia="宋体" w:cs="宋体"/>
                <w:i w:val="0"/>
                <w:iCs w:val="0"/>
                <w:color w:val="000000"/>
                <w:sz w:val="22"/>
                <w:szCs w:val="22"/>
                <w:u w:val="none"/>
              </w:rPr>
            </w:pPr>
          </w:p>
        </w:tc>
      </w:tr>
      <w:tr w14:paraId="0E535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BC41DB">
            <w:pPr>
              <w:jc w:val="center"/>
              <w:rPr>
                <w:rFonts w:hint="eastAsia" w:ascii="宋体" w:hAnsi="宋体" w:eastAsia="宋体" w:cs="宋体"/>
                <w:i w:val="0"/>
                <w:iCs w:val="0"/>
                <w:color w:val="000000"/>
                <w:sz w:val="18"/>
                <w:szCs w:val="18"/>
                <w:u w:val="none"/>
              </w:rPr>
            </w:pPr>
          </w:p>
        </w:tc>
        <w:tc>
          <w:tcPr>
            <w:tcW w:w="16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F9963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机构建设</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14:paraId="1F94CD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组织建设工作及时完成率</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28AB7A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38D17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14:paraId="57A08F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达到100%得2分，如未完成按相应比例扣分</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47C6A4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14:paraId="0B6F87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3781C97A">
            <w:pPr>
              <w:rPr>
                <w:rFonts w:hint="eastAsia" w:ascii="宋体" w:hAnsi="宋体" w:eastAsia="宋体" w:cs="宋体"/>
                <w:i w:val="0"/>
                <w:iCs w:val="0"/>
                <w:color w:val="000000"/>
                <w:sz w:val="22"/>
                <w:szCs w:val="22"/>
                <w:u w:val="none"/>
              </w:rPr>
            </w:pPr>
          </w:p>
        </w:tc>
      </w:tr>
      <w:tr w14:paraId="3984B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27FF65E">
            <w:pPr>
              <w:jc w:val="center"/>
              <w:rPr>
                <w:rFonts w:hint="eastAsia" w:ascii="宋体" w:hAnsi="宋体" w:eastAsia="宋体" w:cs="宋体"/>
                <w:i w:val="0"/>
                <w:iCs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61664F5">
            <w:pPr>
              <w:jc w:val="center"/>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14:paraId="08156F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业务学习与培训及时完成率</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7951C8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ABD1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14:paraId="1F6EFE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达到100%得2分，如未完成按相应比例扣分</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5A4E4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14:paraId="2F63B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6122FE8B">
            <w:pPr>
              <w:rPr>
                <w:rFonts w:hint="eastAsia" w:ascii="宋体" w:hAnsi="宋体" w:eastAsia="宋体" w:cs="宋体"/>
                <w:i w:val="0"/>
                <w:iCs w:val="0"/>
                <w:color w:val="000000"/>
                <w:sz w:val="22"/>
                <w:szCs w:val="22"/>
                <w:u w:val="none"/>
              </w:rPr>
            </w:pPr>
          </w:p>
        </w:tc>
      </w:tr>
      <w:tr w14:paraId="25774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3F27283">
            <w:pPr>
              <w:jc w:val="center"/>
              <w:rPr>
                <w:rFonts w:hint="eastAsia" w:ascii="宋体" w:hAnsi="宋体" w:eastAsia="宋体" w:cs="宋体"/>
                <w:i w:val="0"/>
                <w:iCs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7D81BDE">
            <w:pPr>
              <w:jc w:val="center"/>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14:paraId="0E7E3D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纪检监察工作有效性</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31C2F5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有效</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F555D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14:paraId="363180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有效得满分，否则按相应比例扣分</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05C77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有效</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14:paraId="500418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74685EB9">
            <w:pPr>
              <w:rPr>
                <w:rFonts w:hint="eastAsia" w:ascii="宋体" w:hAnsi="宋体" w:eastAsia="宋体" w:cs="宋体"/>
                <w:i w:val="0"/>
                <w:iCs w:val="0"/>
                <w:color w:val="000000"/>
                <w:sz w:val="22"/>
                <w:szCs w:val="22"/>
                <w:u w:val="none"/>
              </w:rPr>
            </w:pPr>
          </w:p>
        </w:tc>
      </w:tr>
      <w:tr w14:paraId="69179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06" w:type="dxa"/>
            <w:vMerge w:val="restart"/>
            <w:tcBorders>
              <w:top w:val="single" w:color="000000" w:sz="4" w:space="0"/>
              <w:left w:val="single" w:color="000000" w:sz="4" w:space="0"/>
              <w:bottom w:val="single" w:color="000000" w:sz="4" w:space="0"/>
              <w:right w:val="single" w:color="000000" w:sz="4" w:space="0"/>
            </w:tcBorders>
            <w:shd w:val="clear"/>
            <w:vAlign w:val="center"/>
          </w:tcPr>
          <w:p w14:paraId="00EE5F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履职</w:t>
            </w:r>
          </w:p>
        </w:tc>
        <w:tc>
          <w:tcPr>
            <w:tcW w:w="1695" w:type="dxa"/>
            <w:tcBorders>
              <w:top w:val="single" w:color="000000" w:sz="4" w:space="0"/>
              <w:left w:val="single" w:color="000000" w:sz="4" w:space="0"/>
              <w:bottom w:val="single" w:color="000000" w:sz="4" w:space="0"/>
              <w:right w:val="nil"/>
            </w:tcBorders>
            <w:shd w:val="clear"/>
            <w:vAlign w:val="center"/>
          </w:tcPr>
          <w:p w14:paraId="2FBA00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坚持全面从严治党</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14:paraId="4786EA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全面坚持</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60F7DF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全面坚持</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035C1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14:paraId="278D79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全面坚持得满分，否则按相应比例扣分</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2AD400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全面坚持</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14:paraId="6EC01B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5ED40114">
            <w:pPr>
              <w:rPr>
                <w:rFonts w:hint="eastAsia" w:ascii="宋体" w:hAnsi="宋体" w:eastAsia="宋体" w:cs="宋体"/>
                <w:i w:val="0"/>
                <w:iCs w:val="0"/>
                <w:color w:val="000000"/>
                <w:sz w:val="22"/>
                <w:szCs w:val="22"/>
                <w:u w:val="none"/>
              </w:rPr>
            </w:pPr>
          </w:p>
        </w:tc>
      </w:tr>
      <w:tr w14:paraId="7B286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E31420D">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nil"/>
            </w:tcBorders>
            <w:shd w:val="clear"/>
            <w:vAlign w:val="center"/>
          </w:tcPr>
          <w:p w14:paraId="4291AD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扎实做好绿化园林安全生产工作</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14:paraId="0BAABB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扎实推进</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006625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扎实推进</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4E8AD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14:paraId="19E703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扎实推进各项工作得满分，否则按相应比例扣分</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1F8DB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扎实推进</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14:paraId="23B8E2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3EBDFE48">
            <w:pPr>
              <w:rPr>
                <w:rFonts w:hint="eastAsia" w:ascii="宋体" w:hAnsi="宋体" w:eastAsia="宋体" w:cs="宋体"/>
                <w:i w:val="0"/>
                <w:iCs w:val="0"/>
                <w:color w:val="000000"/>
                <w:sz w:val="22"/>
                <w:szCs w:val="22"/>
                <w:u w:val="none"/>
              </w:rPr>
            </w:pPr>
          </w:p>
        </w:tc>
      </w:tr>
      <w:tr w14:paraId="48A07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A451671">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nil"/>
            </w:tcBorders>
            <w:shd w:val="clear"/>
            <w:vAlign w:val="center"/>
          </w:tcPr>
          <w:p w14:paraId="091DD5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加强公园城市建设</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14:paraId="2BBE1E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加强建设</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4FEFB4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加强建设</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F007C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14:paraId="4501A5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扎实推进各项工作得满分，否则按相应比例扣分</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13119A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加强建设</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14:paraId="6641A5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4F4C80E0">
            <w:pPr>
              <w:rPr>
                <w:rFonts w:hint="eastAsia" w:ascii="宋体" w:hAnsi="宋体" w:eastAsia="宋体" w:cs="宋体"/>
                <w:i w:val="0"/>
                <w:iCs w:val="0"/>
                <w:color w:val="000000"/>
                <w:sz w:val="22"/>
                <w:szCs w:val="22"/>
                <w:u w:val="none"/>
              </w:rPr>
            </w:pPr>
          </w:p>
        </w:tc>
      </w:tr>
      <w:tr w14:paraId="3E025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6253CB5">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nil"/>
            </w:tcBorders>
            <w:shd w:val="clear"/>
            <w:vAlign w:val="center"/>
          </w:tcPr>
          <w:p w14:paraId="18036A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进一步深入推行林长制</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14:paraId="494995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深入推进</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5EDBBE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深入推进</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6F7F8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14:paraId="7F6AFB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扎实推进各项工作得满分，否则按相应比例扣分</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53FBF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深入推进</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14:paraId="45A05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28F0C4E6">
            <w:pPr>
              <w:rPr>
                <w:rFonts w:hint="eastAsia" w:ascii="宋体" w:hAnsi="宋体" w:eastAsia="宋体" w:cs="宋体"/>
                <w:i w:val="0"/>
                <w:iCs w:val="0"/>
                <w:color w:val="000000"/>
                <w:sz w:val="22"/>
                <w:szCs w:val="22"/>
                <w:u w:val="none"/>
              </w:rPr>
            </w:pPr>
          </w:p>
        </w:tc>
      </w:tr>
      <w:tr w14:paraId="03F78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FBDE0A8">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nil"/>
            </w:tcBorders>
            <w:shd w:val="clear"/>
            <w:vAlign w:val="center"/>
          </w:tcPr>
          <w:p w14:paraId="2BD2A1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实施科学绿化</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14:paraId="00C6BA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有效实施</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13372C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有效实施</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B2EDB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14:paraId="0FB0CD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扎实推进各项工作得满分，否则按相应比例扣分</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B0DFF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有效实施</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14:paraId="7EE6E0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5E3064F3">
            <w:pPr>
              <w:rPr>
                <w:rFonts w:hint="eastAsia" w:ascii="宋体" w:hAnsi="宋体" w:eastAsia="宋体" w:cs="宋体"/>
                <w:i w:val="0"/>
                <w:iCs w:val="0"/>
                <w:color w:val="000000"/>
                <w:sz w:val="22"/>
                <w:szCs w:val="22"/>
                <w:u w:val="none"/>
              </w:rPr>
            </w:pPr>
          </w:p>
        </w:tc>
      </w:tr>
      <w:tr w14:paraId="0725D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ADAF4C9">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nil"/>
            </w:tcBorders>
            <w:shd w:val="clear"/>
            <w:vAlign w:val="center"/>
          </w:tcPr>
          <w:p w14:paraId="2AB0F3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提升园林绿化精细化管养水平</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14:paraId="6DA596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有效提升</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3CF121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有效提升</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7960C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14:paraId="6F1FF2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扎实推进各项工作得满分，否则按相应比例扣分</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726AC6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有效提升</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14:paraId="1A3691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07781DFA">
            <w:pPr>
              <w:rPr>
                <w:rFonts w:hint="eastAsia" w:ascii="宋体" w:hAnsi="宋体" w:eastAsia="宋体" w:cs="宋体"/>
                <w:i w:val="0"/>
                <w:iCs w:val="0"/>
                <w:color w:val="000000"/>
                <w:sz w:val="22"/>
                <w:szCs w:val="22"/>
                <w:u w:val="none"/>
              </w:rPr>
            </w:pPr>
          </w:p>
        </w:tc>
      </w:tr>
      <w:tr w14:paraId="2EF82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65784FE">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nil"/>
            </w:tcBorders>
            <w:shd w:val="clear"/>
            <w:vAlign w:val="center"/>
          </w:tcPr>
          <w:p w14:paraId="456E50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加强城市树木保护管理</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14:paraId="73E3A7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按计划实施</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4DB3CB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按计划实施</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2E852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14:paraId="54621E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扎实推进各项工作得满分，否则按相应比例扣分</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48B452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按计划实施</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14:paraId="203B40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63CABCA5">
            <w:pPr>
              <w:rPr>
                <w:rFonts w:hint="eastAsia" w:ascii="宋体" w:hAnsi="宋体" w:eastAsia="宋体" w:cs="宋体"/>
                <w:i w:val="0"/>
                <w:iCs w:val="0"/>
                <w:color w:val="000000"/>
                <w:sz w:val="22"/>
                <w:szCs w:val="22"/>
                <w:u w:val="none"/>
              </w:rPr>
            </w:pPr>
          </w:p>
        </w:tc>
      </w:tr>
      <w:tr w14:paraId="74B01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16CD2D3">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nil"/>
            </w:tcBorders>
            <w:shd w:val="clear"/>
            <w:vAlign w:val="center"/>
          </w:tcPr>
          <w:p w14:paraId="5A1CD8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加强自然保护地管理</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14:paraId="73AF4F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按计划推进</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6BACF5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按计划推进</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B265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14:paraId="5C71C3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扎实推进各项工作得满分，否则按相应比例扣分</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ED7D3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按计划推进</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14:paraId="50C454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25E5608A">
            <w:pPr>
              <w:rPr>
                <w:rFonts w:hint="eastAsia" w:ascii="宋体" w:hAnsi="宋体" w:eastAsia="宋体" w:cs="宋体"/>
                <w:i w:val="0"/>
                <w:iCs w:val="0"/>
                <w:color w:val="000000"/>
                <w:sz w:val="22"/>
                <w:szCs w:val="22"/>
                <w:u w:val="none"/>
              </w:rPr>
            </w:pPr>
          </w:p>
        </w:tc>
      </w:tr>
      <w:tr w14:paraId="12B1E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013DA2">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nil"/>
            </w:tcBorders>
            <w:shd w:val="clear"/>
            <w:vAlign w:val="center"/>
          </w:tcPr>
          <w:p w14:paraId="784269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进一步加强江豚保护区管理</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14:paraId="358FE9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落实计划</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109AA3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有效落实</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91D75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14:paraId="796A79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扎实推进各项工作得满分，否则按相应比例扣分</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23AFA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有效落实</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14:paraId="18B29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3DF2028B">
            <w:pPr>
              <w:rPr>
                <w:rFonts w:hint="eastAsia" w:ascii="宋体" w:hAnsi="宋体" w:eastAsia="宋体" w:cs="宋体"/>
                <w:i w:val="0"/>
                <w:iCs w:val="0"/>
                <w:color w:val="000000"/>
                <w:sz w:val="22"/>
                <w:szCs w:val="22"/>
                <w:u w:val="none"/>
              </w:rPr>
            </w:pPr>
          </w:p>
        </w:tc>
      </w:tr>
      <w:tr w14:paraId="1D08C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16A2A46">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nil"/>
            </w:tcBorders>
            <w:shd w:val="clear"/>
            <w:vAlign w:val="center"/>
          </w:tcPr>
          <w:p w14:paraId="7E39B3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组织开展义务植树活动</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14:paraId="051140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组织开展</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79F0DA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组织开展</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E9F43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14:paraId="28B56F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扎实推进各项工作得满分，否则按相应比例扣分</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7D59E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组织开展</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14:paraId="58308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783B2017">
            <w:pPr>
              <w:rPr>
                <w:rFonts w:hint="eastAsia" w:ascii="宋体" w:hAnsi="宋体" w:eastAsia="宋体" w:cs="宋体"/>
                <w:i w:val="0"/>
                <w:iCs w:val="0"/>
                <w:color w:val="000000"/>
                <w:sz w:val="22"/>
                <w:szCs w:val="22"/>
                <w:u w:val="none"/>
              </w:rPr>
            </w:pPr>
          </w:p>
        </w:tc>
      </w:tr>
      <w:tr w14:paraId="51B7B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9010183">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nil"/>
            </w:tcBorders>
            <w:shd w:val="clear"/>
            <w:vAlign w:val="center"/>
          </w:tcPr>
          <w:p w14:paraId="325134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做好法治和科研工作</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14:paraId="18ACBF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落实规定要求</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76F46C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有效落实</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3FD81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14:paraId="33119E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扎实推进各项工作得满分，否则按相应比例扣分</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AEDF1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有效落实</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14:paraId="283117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73B65118">
            <w:pPr>
              <w:rPr>
                <w:rFonts w:hint="eastAsia" w:ascii="宋体" w:hAnsi="宋体" w:eastAsia="宋体" w:cs="宋体"/>
                <w:i w:val="0"/>
                <w:iCs w:val="0"/>
                <w:color w:val="000000"/>
                <w:sz w:val="22"/>
                <w:szCs w:val="22"/>
                <w:u w:val="none"/>
              </w:rPr>
            </w:pPr>
          </w:p>
        </w:tc>
      </w:tr>
      <w:tr w14:paraId="54401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295A765">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nil"/>
            </w:tcBorders>
            <w:shd w:val="clear"/>
            <w:vAlign w:val="center"/>
          </w:tcPr>
          <w:p w14:paraId="73FFE8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加强行政审批管理</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14:paraId="4130E9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加强管理</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4455E4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加强管理</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02BBE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14:paraId="053486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扎实推进各项工作得满分，否则按相应比例扣分</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130CBC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加强管理</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14:paraId="725E0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397538FE">
            <w:pPr>
              <w:rPr>
                <w:rFonts w:hint="eastAsia" w:ascii="宋体" w:hAnsi="宋体" w:eastAsia="宋体" w:cs="宋体"/>
                <w:i w:val="0"/>
                <w:iCs w:val="0"/>
                <w:color w:val="000000"/>
                <w:sz w:val="22"/>
                <w:szCs w:val="22"/>
                <w:u w:val="none"/>
              </w:rPr>
            </w:pPr>
          </w:p>
        </w:tc>
      </w:tr>
      <w:tr w14:paraId="7A532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0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92B55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16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C53E6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社会效益</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14:paraId="726B4D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城市园林水平</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023259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提升</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AEFD2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14:paraId="77A91B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提升提满分，否则按比例扣分</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7BC227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提升</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14:paraId="33C30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42AC435E">
            <w:pPr>
              <w:rPr>
                <w:rFonts w:hint="eastAsia" w:ascii="宋体" w:hAnsi="宋体" w:eastAsia="宋体" w:cs="宋体"/>
                <w:i w:val="0"/>
                <w:iCs w:val="0"/>
                <w:color w:val="000000"/>
                <w:sz w:val="22"/>
                <w:szCs w:val="22"/>
                <w:u w:val="none"/>
              </w:rPr>
            </w:pPr>
          </w:p>
        </w:tc>
      </w:tr>
      <w:tr w14:paraId="4B590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3A31EEF">
            <w:pPr>
              <w:jc w:val="center"/>
              <w:rPr>
                <w:rFonts w:hint="eastAsia" w:ascii="宋体" w:hAnsi="宋体" w:eastAsia="宋体" w:cs="宋体"/>
                <w:i w:val="0"/>
                <w:iCs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2A7F301">
            <w:pPr>
              <w:jc w:val="center"/>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14:paraId="10FBE5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森林火灾防控能力</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0E1484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提升</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DC1B4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14:paraId="6D7795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提升提满分，否则按比例扣分</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82608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提升</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14:paraId="1886A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22041419">
            <w:pPr>
              <w:rPr>
                <w:rFonts w:hint="eastAsia" w:ascii="宋体" w:hAnsi="宋体" w:eastAsia="宋体" w:cs="宋体"/>
                <w:i w:val="0"/>
                <w:iCs w:val="0"/>
                <w:color w:val="000000"/>
                <w:sz w:val="22"/>
                <w:szCs w:val="22"/>
                <w:u w:val="none"/>
              </w:rPr>
            </w:pPr>
          </w:p>
        </w:tc>
      </w:tr>
      <w:tr w14:paraId="286E1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B3335B">
            <w:pPr>
              <w:jc w:val="center"/>
              <w:rPr>
                <w:rFonts w:hint="eastAsia" w:ascii="宋体" w:hAnsi="宋体" w:eastAsia="宋体" w:cs="宋体"/>
                <w:i w:val="0"/>
                <w:iCs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EB5C145">
            <w:pPr>
              <w:jc w:val="center"/>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14:paraId="0F54E8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人均公园绿地面积</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5EB8F9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≥12㎡/人</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EC662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14:paraId="44B26B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≥12㎡/人得满分，否则按相应比例扣分</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1FA221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≥12㎡/人</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14:paraId="692209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5814EF0B">
            <w:pPr>
              <w:rPr>
                <w:rFonts w:hint="eastAsia" w:ascii="宋体" w:hAnsi="宋体" w:eastAsia="宋体" w:cs="宋体"/>
                <w:i w:val="0"/>
                <w:iCs w:val="0"/>
                <w:color w:val="000000"/>
                <w:sz w:val="22"/>
                <w:szCs w:val="22"/>
                <w:u w:val="none"/>
              </w:rPr>
            </w:pPr>
          </w:p>
        </w:tc>
      </w:tr>
      <w:tr w14:paraId="5B636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8521CD5">
            <w:pPr>
              <w:jc w:val="center"/>
              <w:rPr>
                <w:rFonts w:hint="eastAsia" w:ascii="宋体" w:hAnsi="宋体" w:eastAsia="宋体" w:cs="宋体"/>
                <w:i w:val="0"/>
                <w:iCs w:val="0"/>
                <w:color w:val="000000"/>
                <w:sz w:val="18"/>
                <w:szCs w:val="18"/>
                <w:u w:val="none"/>
              </w:rPr>
            </w:pPr>
          </w:p>
        </w:tc>
        <w:tc>
          <w:tcPr>
            <w:tcW w:w="16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CB87E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生态效益</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14:paraId="06999A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建成区绿地率</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176D0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≥35%</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6500A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14:paraId="4040FF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≥35%得满分，否则按相应比例扣分</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25E2E2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≥35%</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14:paraId="7E303E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30D4CE9A">
            <w:pPr>
              <w:rPr>
                <w:rFonts w:hint="eastAsia" w:ascii="宋体" w:hAnsi="宋体" w:eastAsia="宋体" w:cs="宋体"/>
                <w:i w:val="0"/>
                <w:iCs w:val="0"/>
                <w:color w:val="000000"/>
                <w:sz w:val="22"/>
                <w:szCs w:val="22"/>
                <w:u w:val="none"/>
              </w:rPr>
            </w:pPr>
          </w:p>
        </w:tc>
      </w:tr>
      <w:tr w14:paraId="7C33C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121AF48">
            <w:pPr>
              <w:jc w:val="center"/>
              <w:rPr>
                <w:rFonts w:hint="eastAsia" w:ascii="宋体" w:hAnsi="宋体" w:eastAsia="宋体" w:cs="宋体"/>
                <w:i w:val="0"/>
                <w:iCs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70429AF">
            <w:pPr>
              <w:jc w:val="center"/>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14:paraId="6C3927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建成区绿化覆盖率</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617FEE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85EAA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14:paraId="5F196E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≥40%得满分，否则按相应比例扣分</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1A43D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14:paraId="7D9DDC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78BAF059">
            <w:pPr>
              <w:rPr>
                <w:rFonts w:hint="eastAsia" w:ascii="宋体" w:hAnsi="宋体" w:eastAsia="宋体" w:cs="宋体"/>
                <w:i w:val="0"/>
                <w:iCs w:val="0"/>
                <w:color w:val="000000"/>
                <w:sz w:val="22"/>
                <w:szCs w:val="22"/>
                <w:u w:val="none"/>
              </w:rPr>
            </w:pPr>
          </w:p>
        </w:tc>
      </w:tr>
      <w:tr w14:paraId="2B26F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6AE3F52">
            <w:pPr>
              <w:jc w:val="center"/>
              <w:rPr>
                <w:rFonts w:hint="eastAsia" w:ascii="宋体" w:hAnsi="宋体" w:eastAsia="宋体" w:cs="宋体"/>
                <w:i w:val="0"/>
                <w:iCs w:val="0"/>
                <w:color w:val="000000"/>
                <w:sz w:val="18"/>
                <w:szCs w:val="18"/>
                <w:u w:val="none"/>
              </w:rPr>
            </w:pPr>
          </w:p>
        </w:tc>
        <w:tc>
          <w:tcPr>
            <w:tcW w:w="16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C6312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可持续影响</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14:paraId="46A8BB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监管服务体系</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76405F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建立</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FA8C5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14:paraId="1D8FD5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建立得满分，否则按相应比例扣分</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1ECF7D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建立</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14:paraId="48225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177CD627">
            <w:pPr>
              <w:rPr>
                <w:rFonts w:hint="eastAsia" w:ascii="宋体" w:hAnsi="宋体" w:eastAsia="宋体" w:cs="宋体"/>
                <w:i w:val="0"/>
                <w:iCs w:val="0"/>
                <w:color w:val="000000"/>
                <w:sz w:val="22"/>
                <w:szCs w:val="22"/>
                <w:u w:val="none"/>
              </w:rPr>
            </w:pPr>
          </w:p>
        </w:tc>
      </w:tr>
      <w:tr w14:paraId="486D4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2EBD52D">
            <w:pPr>
              <w:jc w:val="center"/>
              <w:rPr>
                <w:rFonts w:hint="eastAsia" w:ascii="宋体" w:hAnsi="宋体" w:eastAsia="宋体" w:cs="宋体"/>
                <w:i w:val="0"/>
                <w:iCs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18E4EE">
            <w:pPr>
              <w:jc w:val="center"/>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14:paraId="67619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党风廉政建设情况</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2FFBA2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规范</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8CC6F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14:paraId="089013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规范得满分，否则按相应比例扣分</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B96A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规范</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14:paraId="0830C8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06FF3420">
            <w:pPr>
              <w:rPr>
                <w:rFonts w:hint="eastAsia" w:ascii="宋体" w:hAnsi="宋体" w:eastAsia="宋体" w:cs="宋体"/>
                <w:i w:val="0"/>
                <w:iCs w:val="0"/>
                <w:color w:val="000000"/>
                <w:sz w:val="22"/>
                <w:szCs w:val="22"/>
                <w:u w:val="none"/>
              </w:rPr>
            </w:pPr>
          </w:p>
        </w:tc>
      </w:tr>
      <w:tr w14:paraId="41EB2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06" w:type="dxa"/>
            <w:tcBorders>
              <w:top w:val="single" w:color="000000" w:sz="4" w:space="0"/>
              <w:left w:val="single" w:color="000000" w:sz="4" w:space="0"/>
              <w:bottom w:val="single" w:color="000000" w:sz="4" w:space="0"/>
              <w:right w:val="single" w:color="000000" w:sz="4" w:space="0"/>
            </w:tcBorders>
            <w:shd w:val="clear"/>
            <w:vAlign w:val="center"/>
          </w:tcPr>
          <w:p w14:paraId="4A389F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5D6ABF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服务对象满意度</w:t>
            </w:r>
          </w:p>
        </w:tc>
        <w:tc>
          <w:tcPr>
            <w:tcW w:w="2325" w:type="dxa"/>
            <w:tcBorders>
              <w:top w:val="single" w:color="000000" w:sz="4" w:space="0"/>
              <w:left w:val="single" w:color="000000" w:sz="4" w:space="0"/>
              <w:bottom w:val="single" w:color="000000" w:sz="4" w:space="0"/>
              <w:right w:val="single" w:color="000000" w:sz="4" w:space="0"/>
            </w:tcBorders>
            <w:shd w:val="clear"/>
            <w:vAlign w:val="center"/>
          </w:tcPr>
          <w:p w14:paraId="01BAD3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单位作风和行业作风建设社会评议</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356708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良好</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DF31E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14:paraId="27B7E7B5">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满意得满分，否则按相应比例扣分</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86152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良好</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14:paraId="7E4820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2EF07117">
            <w:pPr>
              <w:rPr>
                <w:rFonts w:hint="eastAsia" w:ascii="宋体" w:hAnsi="宋体" w:eastAsia="宋体" w:cs="宋体"/>
                <w:i w:val="0"/>
                <w:iCs w:val="0"/>
                <w:color w:val="000000"/>
                <w:sz w:val="22"/>
                <w:szCs w:val="22"/>
                <w:u w:val="none"/>
              </w:rPr>
            </w:pPr>
          </w:p>
        </w:tc>
      </w:tr>
    </w:tbl>
    <w:p w14:paraId="1F6B529B">
      <w:pPr>
        <w:spacing w:line="320" w:lineRule="exact"/>
        <w:jc w:val="center"/>
        <w:rPr>
          <w:rFonts w:hint="eastAsia" w:ascii="黑体" w:hAnsi="黑体" w:eastAsia="黑体" w:cs="Calibri"/>
          <w:bCs/>
          <w:color w:val="auto"/>
          <w:szCs w:val="32"/>
          <w:highlight w:val="none"/>
        </w:rPr>
      </w:pPr>
    </w:p>
    <w:p w14:paraId="46013AE2">
      <w:pPr>
        <w:spacing w:line="320" w:lineRule="exact"/>
        <w:jc w:val="center"/>
        <w:rPr>
          <w:rFonts w:hint="eastAsia" w:ascii="黑体" w:hAnsi="黑体" w:eastAsia="黑体" w:cs="Calibri"/>
          <w:bCs/>
          <w:color w:val="auto"/>
          <w:szCs w:val="32"/>
          <w:highlight w:val="none"/>
        </w:rPr>
      </w:pPr>
    </w:p>
    <w:p w14:paraId="2A74C6EE">
      <w:pPr>
        <w:pStyle w:val="17"/>
        <w:ind w:firstLine="0" w:firstLineChars="0"/>
        <w:rPr>
          <w:color w:val="auto"/>
          <w:highlight w:val="none"/>
        </w:rPr>
      </w:pPr>
      <w:bookmarkStart w:id="37" w:name="_GoBack"/>
      <w:bookmarkEnd w:id="37"/>
    </w:p>
    <w:sectPr>
      <w:footerReference r:id="rId9" w:type="default"/>
      <w:pgSz w:w="16840" w:h="11907" w:orient="landscape"/>
      <w:pgMar w:top="1474" w:right="1474" w:bottom="1474" w:left="1814" w:header="851" w:footer="85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等线">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6E630">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51CA17B">
                          <w:pPr>
                            <w:pStyle w:val="5"/>
                            <w:rPr>
                              <w:rFonts w:eastAsia="宋体"/>
                            </w:rPr>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51CA17B">
                    <w:pPr>
                      <w:pStyle w:val="5"/>
                      <w:rPr>
                        <w:rFonts w:eastAsia="宋体"/>
                      </w:rPr>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C7F9D">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B43DC">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DFBCE">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2BE5BC3">
                          <w:pPr>
                            <w:pStyle w:val="5"/>
                            <w:rPr>
                              <w:rFonts w:eastAsia="宋体"/>
                            </w:rPr>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2BE5BC3">
                    <w:pPr>
                      <w:pStyle w:val="5"/>
                      <w:rPr>
                        <w:rFonts w:eastAsia="宋体"/>
                      </w:rPr>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CAAB8">
    <w:pPr>
      <w:pStyle w:val="6"/>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23832">
    <w:pPr>
      <w:pStyle w:val="6"/>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BEFC4">
    <w:pPr>
      <w:pStyle w:val="6"/>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58"/>
  <w:drawingGridVerticalSpacing w:val="313"/>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2NzcwODNkNGY5NTMyZGY5MDI4YzgyZTI1NzkwNjAifQ=="/>
  </w:docVars>
  <w:rsids>
    <w:rsidRoot w:val="57585C23"/>
    <w:rsid w:val="00027DF3"/>
    <w:rsid w:val="00084D3D"/>
    <w:rsid w:val="004157E3"/>
    <w:rsid w:val="004C000E"/>
    <w:rsid w:val="00931DF9"/>
    <w:rsid w:val="009E46F3"/>
    <w:rsid w:val="00AD1675"/>
    <w:rsid w:val="01123A3F"/>
    <w:rsid w:val="0140478C"/>
    <w:rsid w:val="025E56F5"/>
    <w:rsid w:val="037963FA"/>
    <w:rsid w:val="04FA363C"/>
    <w:rsid w:val="05B86B1A"/>
    <w:rsid w:val="07AC317C"/>
    <w:rsid w:val="09114226"/>
    <w:rsid w:val="09DE12BD"/>
    <w:rsid w:val="09EA7476"/>
    <w:rsid w:val="0C0A0E09"/>
    <w:rsid w:val="0CDD5F03"/>
    <w:rsid w:val="0D556F9E"/>
    <w:rsid w:val="0E6341F3"/>
    <w:rsid w:val="0EEB4E4F"/>
    <w:rsid w:val="0F622936"/>
    <w:rsid w:val="10495F22"/>
    <w:rsid w:val="115E7490"/>
    <w:rsid w:val="122A69E7"/>
    <w:rsid w:val="1270625A"/>
    <w:rsid w:val="128002E4"/>
    <w:rsid w:val="132079E9"/>
    <w:rsid w:val="15001E7F"/>
    <w:rsid w:val="15C07636"/>
    <w:rsid w:val="15F7411D"/>
    <w:rsid w:val="180E4E08"/>
    <w:rsid w:val="182064B8"/>
    <w:rsid w:val="183C5D5C"/>
    <w:rsid w:val="18890593"/>
    <w:rsid w:val="194C6135"/>
    <w:rsid w:val="19CA1197"/>
    <w:rsid w:val="1A090A84"/>
    <w:rsid w:val="1A1D3A6B"/>
    <w:rsid w:val="1A9A4E91"/>
    <w:rsid w:val="1B52210F"/>
    <w:rsid w:val="1B893A9F"/>
    <w:rsid w:val="1C6C5343"/>
    <w:rsid w:val="1D8F0828"/>
    <w:rsid w:val="1E772779"/>
    <w:rsid w:val="21CA447C"/>
    <w:rsid w:val="22F82FBA"/>
    <w:rsid w:val="22FF3DE2"/>
    <w:rsid w:val="238B578F"/>
    <w:rsid w:val="248934BC"/>
    <w:rsid w:val="25714529"/>
    <w:rsid w:val="25A81E0E"/>
    <w:rsid w:val="26365C93"/>
    <w:rsid w:val="289E36B0"/>
    <w:rsid w:val="2AF85537"/>
    <w:rsid w:val="2BD9554D"/>
    <w:rsid w:val="2BDD46C6"/>
    <w:rsid w:val="2C640CA9"/>
    <w:rsid w:val="2CDC497D"/>
    <w:rsid w:val="2CE377B3"/>
    <w:rsid w:val="2EDE3496"/>
    <w:rsid w:val="301504EA"/>
    <w:rsid w:val="325F4C49"/>
    <w:rsid w:val="3511644A"/>
    <w:rsid w:val="355C56BB"/>
    <w:rsid w:val="35691728"/>
    <w:rsid w:val="35B13103"/>
    <w:rsid w:val="36E115CD"/>
    <w:rsid w:val="377B0A5A"/>
    <w:rsid w:val="37873610"/>
    <w:rsid w:val="37AC4618"/>
    <w:rsid w:val="38831B89"/>
    <w:rsid w:val="38C3566A"/>
    <w:rsid w:val="390A29D5"/>
    <w:rsid w:val="3A8B2370"/>
    <w:rsid w:val="3AB33AA0"/>
    <w:rsid w:val="3AC32DCC"/>
    <w:rsid w:val="3E717716"/>
    <w:rsid w:val="3EC570F6"/>
    <w:rsid w:val="3ED260BD"/>
    <w:rsid w:val="3FCE14C1"/>
    <w:rsid w:val="42F2170D"/>
    <w:rsid w:val="448418AF"/>
    <w:rsid w:val="44F84E62"/>
    <w:rsid w:val="46A32EBB"/>
    <w:rsid w:val="473D0183"/>
    <w:rsid w:val="479C3078"/>
    <w:rsid w:val="4803144D"/>
    <w:rsid w:val="494E16FD"/>
    <w:rsid w:val="4A6A0D7F"/>
    <w:rsid w:val="4AFE1D51"/>
    <w:rsid w:val="4B0B5621"/>
    <w:rsid w:val="4C24152A"/>
    <w:rsid w:val="4ECD586E"/>
    <w:rsid w:val="507311C4"/>
    <w:rsid w:val="51080AC6"/>
    <w:rsid w:val="513F37AD"/>
    <w:rsid w:val="515C6951"/>
    <w:rsid w:val="523406BD"/>
    <w:rsid w:val="5331536C"/>
    <w:rsid w:val="542056A1"/>
    <w:rsid w:val="54B20C4C"/>
    <w:rsid w:val="54F0717B"/>
    <w:rsid w:val="557A3DE7"/>
    <w:rsid w:val="57585C23"/>
    <w:rsid w:val="58AD0279"/>
    <w:rsid w:val="5ABC6076"/>
    <w:rsid w:val="5B39190A"/>
    <w:rsid w:val="5D7411BB"/>
    <w:rsid w:val="5E9E5081"/>
    <w:rsid w:val="5F903D5A"/>
    <w:rsid w:val="5FAC56BF"/>
    <w:rsid w:val="61AB62AC"/>
    <w:rsid w:val="61AE732F"/>
    <w:rsid w:val="61B605A5"/>
    <w:rsid w:val="64391500"/>
    <w:rsid w:val="66A251CB"/>
    <w:rsid w:val="67765FDB"/>
    <w:rsid w:val="678C7F48"/>
    <w:rsid w:val="67EA444E"/>
    <w:rsid w:val="68A615F9"/>
    <w:rsid w:val="68D234FD"/>
    <w:rsid w:val="68EB3057"/>
    <w:rsid w:val="68EE2911"/>
    <w:rsid w:val="69561D26"/>
    <w:rsid w:val="6A8D5651"/>
    <w:rsid w:val="6AD91052"/>
    <w:rsid w:val="6AF71D4C"/>
    <w:rsid w:val="6B0C309C"/>
    <w:rsid w:val="6B2C1656"/>
    <w:rsid w:val="6B831007"/>
    <w:rsid w:val="6DFE20D9"/>
    <w:rsid w:val="6E4E4F42"/>
    <w:rsid w:val="6E8D6193"/>
    <w:rsid w:val="706A2B35"/>
    <w:rsid w:val="71190770"/>
    <w:rsid w:val="73923CC3"/>
    <w:rsid w:val="74FF5D96"/>
    <w:rsid w:val="75A457CE"/>
    <w:rsid w:val="75A60CD6"/>
    <w:rsid w:val="75F06134"/>
    <w:rsid w:val="77922AB6"/>
    <w:rsid w:val="77A80FA4"/>
    <w:rsid w:val="77B16927"/>
    <w:rsid w:val="7B5C4334"/>
    <w:rsid w:val="7B6B6B32"/>
    <w:rsid w:val="7CCD16AD"/>
    <w:rsid w:val="7F576650"/>
    <w:rsid w:val="7FC94C8E"/>
    <w:rsid w:val="7FC9586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overflowPunct w:val="0"/>
      <w:autoSpaceDE w:val="0"/>
      <w:autoSpaceDN w:val="0"/>
      <w:adjustRightInd w:val="0"/>
      <w:jc w:val="both"/>
      <w:textAlignment w:val="baseline"/>
    </w:pPr>
    <w:rPr>
      <w:rFonts w:ascii="Times New Roman" w:hAnsi="Times New Roman" w:eastAsia="仿宋_GB2312" w:cs="Times New Roman"/>
      <w:kern w:val="0"/>
      <w:sz w:val="32"/>
      <w:szCs w:val="20"/>
      <w:lang w:val="en-US" w:eastAsia="zh-CN" w:bidi="ar-SA"/>
    </w:rPr>
  </w:style>
  <w:style w:type="character" w:default="1" w:styleId="11">
    <w:name w:val="Default Paragraph Font"/>
    <w:autoRedefine/>
    <w:semiHidden/>
    <w:qFormat/>
    <w:uiPriority w:val="99"/>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4"/>
    <w:autoRedefine/>
    <w:qFormat/>
    <w:uiPriority w:val="99"/>
    <w:pPr>
      <w:jc w:val="left"/>
    </w:pPr>
  </w:style>
  <w:style w:type="paragraph" w:styleId="3">
    <w:name w:val="Body Text"/>
    <w:basedOn w:val="1"/>
    <w:next w:val="4"/>
    <w:link w:val="15"/>
    <w:autoRedefine/>
    <w:qFormat/>
    <w:uiPriority w:val="99"/>
    <w:pPr>
      <w:jc w:val="center"/>
    </w:pPr>
    <w:rPr>
      <w:sz w:val="28"/>
    </w:rPr>
  </w:style>
  <w:style w:type="paragraph" w:styleId="4">
    <w:name w:val="toc 2"/>
    <w:basedOn w:val="1"/>
    <w:next w:val="1"/>
    <w:autoRedefine/>
    <w:qFormat/>
    <w:uiPriority w:val="99"/>
    <w:pPr>
      <w:ind w:left="420" w:leftChars="200"/>
    </w:pPr>
  </w:style>
  <w:style w:type="paragraph" w:styleId="5">
    <w:name w:val="footer"/>
    <w:basedOn w:val="1"/>
    <w:link w:val="13"/>
    <w:autoRedefine/>
    <w:qFormat/>
    <w:uiPriority w:val="99"/>
    <w:pPr>
      <w:tabs>
        <w:tab w:val="center" w:pos="4153"/>
        <w:tab w:val="right" w:pos="8306"/>
      </w:tabs>
    </w:pPr>
    <w:rPr>
      <w:sz w:val="20"/>
    </w:rPr>
  </w:style>
  <w:style w:type="paragraph" w:styleId="6">
    <w:name w:val="header"/>
    <w:basedOn w:val="1"/>
    <w:link w:val="16"/>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autoRedefine/>
    <w:qFormat/>
    <w:uiPriority w:val="99"/>
  </w:style>
  <w:style w:type="paragraph" w:styleId="8">
    <w:name w:val="Normal (Web)"/>
    <w:basedOn w:val="1"/>
    <w:autoRedefine/>
    <w:qFormat/>
    <w:uiPriority w:val="99"/>
    <w:pPr>
      <w:jc w:val="left"/>
    </w:pPr>
    <w:rPr>
      <w:sz w:val="24"/>
    </w:rPr>
  </w:style>
  <w:style w:type="table" w:styleId="10">
    <w:name w:val="Table Grid"/>
    <w:basedOn w:val="9"/>
    <w:autoRedefine/>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autoRedefine/>
    <w:qFormat/>
    <w:uiPriority w:val="99"/>
    <w:rPr>
      <w:rFonts w:cs="Times New Roman"/>
    </w:rPr>
  </w:style>
  <w:style w:type="character" w:customStyle="1" w:styleId="13">
    <w:name w:val="Footer Char"/>
    <w:basedOn w:val="11"/>
    <w:link w:val="5"/>
    <w:autoRedefine/>
    <w:semiHidden/>
    <w:qFormat/>
    <w:uiPriority w:val="99"/>
    <w:rPr>
      <w:rFonts w:eastAsia="仿宋_GB2312"/>
      <w:kern w:val="0"/>
      <w:sz w:val="18"/>
      <w:szCs w:val="18"/>
    </w:rPr>
  </w:style>
  <w:style w:type="character" w:customStyle="1" w:styleId="14">
    <w:name w:val="Comment Text Char"/>
    <w:basedOn w:val="11"/>
    <w:link w:val="2"/>
    <w:autoRedefine/>
    <w:semiHidden/>
    <w:qFormat/>
    <w:uiPriority w:val="99"/>
    <w:rPr>
      <w:rFonts w:eastAsia="仿宋_GB2312"/>
      <w:kern w:val="0"/>
      <w:sz w:val="32"/>
      <w:szCs w:val="20"/>
    </w:rPr>
  </w:style>
  <w:style w:type="character" w:customStyle="1" w:styleId="15">
    <w:name w:val="Body Text Char"/>
    <w:basedOn w:val="11"/>
    <w:link w:val="3"/>
    <w:autoRedefine/>
    <w:semiHidden/>
    <w:qFormat/>
    <w:uiPriority w:val="99"/>
    <w:rPr>
      <w:rFonts w:eastAsia="仿宋_GB2312"/>
      <w:kern w:val="0"/>
      <w:sz w:val="32"/>
      <w:szCs w:val="20"/>
    </w:rPr>
  </w:style>
  <w:style w:type="character" w:customStyle="1" w:styleId="16">
    <w:name w:val="Header Char"/>
    <w:basedOn w:val="11"/>
    <w:link w:val="6"/>
    <w:autoRedefine/>
    <w:semiHidden/>
    <w:qFormat/>
    <w:uiPriority w:val="99"/>
    <w:rPr>
      <w:rFonts w:eastAsia="仿宋_GB2312"/>
      <w:kern w:val="0"/>
      <w:sz w:val="18"/>
      <w:szCs w:val="18"/>
    </w:rPr>
  </w:style>
  <w:style w:type="paragraph" w:styleId="17">
    <w:name w:val="List Paragraph"/>
    <w:basedOn w:val="1"/>
    <w:autoRedefine/>
    <w:qFormat/>
    <w:uiPriority w:val="99"/>
    <w:pPr>
      <w:ind w:firstLine="420" w:firstLineChars="200"/>
    </w:pPr>
  </w:style>
  <w:style w:type="character" w:customStyle="1" w:styleId="18">
    <w:name w:val="NormalCharacter"/>
    <w:autoRedefine/>
    <w:semiHidden/>
    <w:qFormat/>
    <w:uiPriority w:val="99"/>
    <w:rPr>
      <w:rFonts w:ascii="Times New Roman" w:hAnsi="Times New Roman" w:eastAsia="仿宋_GB2312"/>
      <w:sz w:val="32"/>
      <w:lang w:val="en-US" w:eastAsia="zh-CN"/>
    </w:rPr>
  </w:style>
  <w:style w:type="paragraph" w:customStyle="1" w:styleId="19">
    <w:name w:val="WPSOffice手动目录 1"/>
    <w:autoRedefine/>
    <w:qFormat/>
    <w:uiPriority w:val="99"/>
    <w:rPr>
      <w:rFonts w:ascii="Times New Roman" w:hAnsi="Times New Roman" w:eastAsia="宋体" w:cs="Times New Roman"/>
      <w:kern w:val="0"/>
      <w:sz w:val="20"/>
      <w:szCs w:val="20"/>
      <w:lang w:val="en-US" w:eastAsia="zh-CN" w:bidi="ar-SA"/>
    </w:rPr>
  </w:style>
  <w:style w:type="paragraph" w:customStyle="1" w:styleId="20">
    <w:name w:val="WPSOffice手动目录 2"/>
    <w:autoRedefine/>
    <w:qFormat/>
    <w:uiPriority w:val="99"/>
    <w:pPr>
      <w:ind w:left="200" w:leftChars="200"/>
    </w:pPr>
    <w:rPr>
      <w:rFonts w:ascii="Times New Roman" w:hAnsi="Times New Roman" w:eastAsia="宋体" w:cs="Times New Roman"/>
      <w:kern w:val="0"/>
      <w:sz w:val="20"/>
      <w:szCs w:val="20"/>
      <w:lang w:val="en-US" w:eastAsia="zh-CN" w:bidi="ar-SA"/>
    </w:rPr>
  </w:style>
  <w:style w:type="character" w:customStyle="1" w:styleId="21">
    <w:name w:val="font51"/>
    <w:basedOn w:val="11"/>
    <w:autoRedefine/>
    <w:qFormat/>
    <w:uiPriority w:val="99"/>
    <w:rPr>
      <w:rFonts w:ascii="Arial" w:hAnsi="Arial" w:cs="Arial"/>
      <w:color w:val="000000"/>
      <w:sz w:val="22"/>
      <w:szCs w:val="22"/>
      <w:u w:val="none"/>
    </w:rPr>
  </w:style>
  <w:style w:type="character" w:customStyle="1" w:styleId="22">
    <w:name w:val="font31"/>
    <w:basedOn w:val="11"/>
    <w:autoRedefine/>
    <w:qFormat/>
    <w:uiPriority w:val="99"/>
    <w:rPr>
      <w:rFonts w:ascii="仿宋" w:hAnsi="仿宋" w:eastAsia="仿宋" w:cs="仿宋"/>
      <w:color w:val="000000"/>
      <w:sz w:val="22"/>
      <w:szCs w:val="22"/>
      <w:u w:val="none"/>
    </w:rPr>
  </w:style>
  <w:style w:type="paragraph" w:customStyle="1" w:styleId="23">
    <w:name w:val="南京正文"/>
    <w:basedOn w:val="1"/>
    <w:autoRedefine/>
    <w:qFormat/>
    <w:uiPriority w:val="99"/>
    <w:pPr>
      <w:spacing w:line="560" w:lineRule="exact"/>
      <w:ind w:firstLine="200" w:firstLineChars="200"/>
    </w:pPr>
    <w:rPr>
      <w:rFonts w:eastAsia="仿宋"/>
      <w:szCs w:val="28"/>
      <w:lang w:val="zh-CN"/>
    </w:rPr>
  </w:style>
  <w:style w:type="paragraph" w:customStyle="1" w:styleId="24">
    <w:name w:val="闻政表"/>
    <w:basedOn w:val="1"/>
    <w:autoRedefine/>
    <w:qFormat/>
    <w:uiPriority w:val="99"/>
    <w:pPr>
      <w:spacing w:before="60" w:after="60"/>
      <w:jc w:val="center"/>
    </w:pPr>
    <w:rPr>
      <w:b/>
      <w:sz w:val="24"/>
      <w:szCs w:val="28"/>
      <w:lang w:val="zh-CN"/>
    </w:rPr>
  </w:style>
  <w:style w:type="paragraph" w:customStyle="1" w:styleId="25">
    <w:name w:val="南京表文字"/>
    <w:basedOn w:val="23"/>
    <w:autoRedefine/>
    <w:qFormat/>
    <w:uiPriority w:val="99"/>
    <w:pPr>
      <w:pBdr>
        <w:between w:val="single" w:color="auto" w:sz="4" w:space="1"/>
      </w:pBdr>
      <w:spacing w:line="300" w:lineRule="exact"/>
      <w:ind w:firstLine="0" w:firstLineChars="0"/>
      <w:jc w:val="center"/>
    </w:pPr>
    <w:rPr>
      <w:rFonts w:cs="宋体"/>
      <w:bCs/>
      <w:color w:val="000000"/>
      <w:sz w:val="18"/>
      <w:szCs w:val="22"/>
    </w:rPr>
  </w:style>
  <w:style w:type="paragraph" w:customStyle="1" w:styleId="26">
    <w:name w:val="南京图表名"/>
    <w:basedOn w:val="1"/>
    <w:autoRedefine/>
    <w:qFormat/>
    <w:uiPriority w:val="99"/>
    <w:pPr>
      <w:spacing w:before="60" w:after="60"/>
      <w:jc w:val="center"/>
    </w:pPr>
    <w:rPr>
      <w:b/>
      <w:sz w:val="24"/>
      <w:szCs w:val="28"/>
    </w:rPr>
  </w:style>
  <w:style w:type="paragraph" w:customStyle="1" w:styleId="27">
    <w:name w:val="闻政标题5"/>
    <w:basedOn w:val="1"/>
    <w:autoRedefine/>
    <w:qFormat/>
    <w:uiPriority w:val="99"/>
    <w:pPr>
      <w:spacing w:before="120" w:after="60" w:line="500" w:lineRule="exact"/>
      <w:ind w:firstLine="200" w:firstLineChars="200"/>
      <w:outlineLvl w:val="2"/>
    </w:pPr>
    <w:rPr>
      <w:b/>
      <w:sz w:val="28"/>
      <w:szCs w:val="28"/>
    </w:rPr>
  </w:style>
  <w:style w:type="paragraph" w:customStyle="1" w:styleId="28">
    <w:name w:val="闻政标题6"/>
    <w:basedOn w:val="29"/>
    <w:autoRedefine/>
    <w:qFormat/>
    <w:uiPriority w:val="99"/>
    <w:pPr>
      <w:ind w:firstLine="562"/>
    </w:pPr>
    <w:rPr>
      <w:b/>
      <w:color w:val="000000"/>
    </w:rPr>
  </w:style>
  <w:style w:type="paragraph" w:customStyle="1" w:styleId="29">
    <w:name w:val="闻政正文"/>
    <w:basedOn w:val="1"/>
    <w:autoRedefine/>
    <w:qFormat/>
    <w:uiPriority w:val="99"/>
    <w:pPr>
      <w:spacing w:line="500" w:lineRule="exact"/>
      <w:ind w:firstLine="560" w:firstLineChars="200"/>
    </w:pPr>
    <w:rPr>
      <w:sz w:val="28"/>
      <w:szCs w:val="28"/>
    </w:rPr>
  </w:style>
  <w:style w:type="character" w:customStyle="1" w:styleId="30">
    <w:name w:val="font01"/>
    <w:basedOn w:val="11"/>
    <w:autoRedefine/>
    <w:qFormat/>
    <w:uiPriority w:val="99"/>
    <w:rPr>
      <w:rFonts w:ascii="黑体" w:hAnsi="宋体" w:eastAsia="黑体" w:cs="黑体"/>
      <w:color w:val="000000"/>
      <w:sz w:val="22"/>
      <w:szCs w:val="22"/>
      <w:u w:val="none"/>
    </w:rPr>
  </w:style>
  <w:style w:type="character" w:customStyle="1" w:styleId="31">
    <w:name w:val="font21"/>
    <w:basedOn w:val="11"/>
    <w:autoRedefine/>
    <w:qFormat/>
    <w:uiPriority w:val="99"/>
    <w:rPr>
      <w:rFonts w:ascii="宋体" w:hAnsi="宋体" w:eastAsia="宋体" w:cs="宋体"/>
      <w:color w:val="000000"/>
      <w:sz w:val="22"/>
      <w:szCs w:val="22"/>
      <w:u w:val="none"/>
    </w:rPr>
  </w:style>
  <w:style w:type="character" w:customStyle="1" w:styleId="32">
    <w:name w:val="font11"/>
    <w:basedOn w:val="11"/>
    <w:autoRedefine/>
    <w:qFormat/>
    <w:uiPriority w:val="99"/>
    <w:rPr>
      <w:rFonts w:ascii="仿宋" w:hAnsi="仿宋" w:eastAsia="仿宋" w:cs="仿宋"/>
      <w:color w:val="FF0000"/>
      <w:sz w:val="20"/>
      <w:szCs w:val="20"/>
      <w:u w:val="none"/>
    </w:rPr>
  </w:style>
  <w:style w:type="character" w:customStyle="1" w:styleId="33">
    <w:name w:val="fontstyle01"/>
    <w:basedOn w:val="11"/>
    <w:autoRedefine/>
    <w:qFormat/>
    <w:uiPriority w:val="99"/>
    <w:rPr>
      <w:rFonts w:ascii="FZXBSK--GBK1-0" w:hAnsi="FZXBSK--GBK1-0" w:cs="Times New Roman"/>
      <w:color w:val="000000"/>
      <w:sz w:val="44"/>
      <w:szCs w:val="44"/>
    </w:rPr>
  </w:style>
  <w:style w:type="paragraph" w:customStyle="1" w:styleId="34">
    <w:name w:val="样式 行距: 固定值 28.9 磅"/>
    <w:basedOn w:val="1"/>
    <w:autoRedefine/>
    <w:qFormat/>
    <w:uiPriority w:val="99"/>
    <w:pPr>
      <w:spacing w:line="578" w:lineRule="exact"/>
    </w:pPr>
    <w:rPr>
      <w:rFonts w:ascii="等线" w:hAnsi="等线" w:eastAsia="等线"/>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18</Pages>
  <Words>7150</Words>
  <Characters>7582</Characters>
  <Lines>0</Lines>
  <Paragraphs>0</Paragraphs>
  <TotalTime>70</TotalTime>
  <ScaleCrop>false</ScaleCrop>
  <LinksUpToDate>false</LinksUpToDate>
  <CharactersWithSpaces>7627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2024-06-04T08:46:00Z</dcterms:created>
  <dc:creator>低調的人生′</dc:creator>
  <cp:lastModifiedBy>唐青海</cp:lastModifiedBy>
  <cp:lastPrinted>2024-09-09T03:39:00Z</cp:lastPrinted>
  <dcterms:modified xsi:type="dcterms:W3CDTF">2025-11-25T01:47:56Z</dcterms:modified>
  <dc:title>2023年度南京市绿化园林局整体预算绩效自评价报告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7F5DA0DCD0CF44D69DB3A6EF8037FC32_13</vt:lpwstr>
  </property>
  <property fmtid="{D5CDD505-2E9C-101B-9397-08002B2CF9AE}" pid="4" name="KSOTemplateDocerSaveRecord">
    <vt:lpwstr>eyJoZGlkIjoiYzE2NzcwODNkNGY5NTMyZGY5MDI4YzgyZTI1NzkwNjAiLCJ1c2VySWQiOiIyNzQwNjA5MTEifQ==</vt:lpwstr>
  </property>
</Properties>
</file>