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5095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大标宋简体" w:hAnsi="微软雅黑" w:eastAsia="方正大标宋简体"/>
          <w:color w:val="000000" w:themeColor="text1"/>
          <w:spacing w:val="-20"/>
          <w:sz w:val="44"/>
          <w:szCs w:val="44"/>
          <w:highlight w:val="none"/>
          <w:shd w:val="clear" w:color="auto" w:fill="FFFFFF"/>
          <w:lang w:val="en-US" w:eastAsia="zh-CN"/>
          <w14:textFill>
            <w14:solidFill>
              <w14:schemeClr w14:val="tx1"/>
            </w14:solidFill>
          </w14:textFill>
        </w:rPr>
      </w:pPr>
      <w:r>
        <w:rPr>
          <w:rFonts w:hint="eastAsia" w:ascii="方正大标宋简体" w:hAnsi="微软雅黑" w:eastAsia="方正大标宋简体"/>
          <w:color w:val="000000" w:themeColor="text1"/>
          <w:spacing w:val="-20"/>
          <w:sz w:val="44"/>
          <w:szCs w:val="44"/>
          <w:highlight w:val="none"/>
          <w:shd w:val="clear" w:color="auto" w:fill="FFFFFF"/>
          <w14:textFill>
            <w14:solidFill>
              <w14:schemeClr w14:val="tx1"/>
            </w14:solidFill>
          </w14:textFill>
        </w:rPr>
        <w:t>20</w:t>
      </w:r>
      <w:r>
        <w:rPr>
          <w:rFonts w:hint="eastAsia" w:ascii="方正大标宋简体" w:hAnsi="微软雅黑" w:eastAsia="方正大标宋简体"/>
          <w:color w:val="000000" w:themeColor="text1"/>
          <w:spacing w:val="-20"/>
          <w:sz w:val="44"/>
          <w:szCs w:val="44"/>
          <w:highlight w:val="none"/>
          <w:shd w:val="clear" w:color="auto" w:fill="FFFFFF"/>
          <w:lang w:val="en-US" w:eastAsia="zh-CN"/>
          <w14:textFill>
            <w14:solidFill>
              <w14:schemeClr w14:val="tx1"/>
            </w14:solidFill>
          </w14:textFill>
        </w:rPr>
        <w:t>24</w:t>
      </w:r>
      <w:r>
        <w:rPr>
          <w:rFonts w:hint="eastAsia" w:ascii="方正大标宋简体" w:hAnsi="微软雅黑" w:eastAsia="方正大标宋简体"/>
          <w:color w:val="000000" w:themeColor="text1"/>
          <w:spacing w:val="-20"/>
          <w:sz w:val="44"/>
          <w:szCs w:val="44"/>
          <w:highlight w:val="none"/>
          <w:shd w:val="clear" w:color="auto" w:fill="FFFFFF"/>
          <w14:textFill>
            <w14:solidFill>
              <w14:schemeClr w14:val="tx1"/>
            </w14:solidFill>
          </w14:textFill>
        </w:rPr>
        <w:t>年度</w:t>
      </w:r>
      <w:r>
        <w:rPr>
          <w:rFonts w:hint="eastAsia" w:ascii="方正大标宋简体" w:hAnsi="微软雅黑" w:eastAsia="方正大标宋简体"/>
          <w:color w:val="000000" w:themeColor="text1"/>
          <w:spacing w:val="-20"/>
          <w:sz w:val="44"/>
          <w:szCs w:val="44"/>
          <w:highlight w:val="none"/>
          <w:shd w:val="clear" w:color="auto" w:fill="FFFFFF"/>
          <w:lang w:eastAsia="zh-CN"/>
          <w14:textFill>
            <w14:solidFill>
              <w14:schemeClr w14:val="tx1"/>
            </w14:solidFill>
          </w14:textFill>
        </w:rPr>
        <w:t>南京市绿化园林局</w:t>
      </w:r>
      <w:r>
        <w:rPr>
          <w:rFonts w:hint="eastAsia" w:ascii="方正大标宋简体" w:hAnsi="微软雅黑" w:eastAsia="方正大标宋简体"/>
          <w:color w:val="000000" w:themeColor="text1"/>
          <w:spacing w:val="-20"/>
          <w:sz w:val="44"/>
          <w:szCs w:val="44"/>
          <w:highlight w:val="none"/>
          <w:shd w:val="clear" w:color="auto" w:fill="FFFFFF"/>
          <w:lang w:val="en-US" w:eastAsia="zh-CN"/>
          <w14:textFill>
            <w14:solidFill>
              <w14:schemeClr w14:val="tx1"/>
            </w14:solidFill>
          </w14:textFill>
        </w:rPr>
        <w:t>重要生态保护区域补偿专项资金--生态公益林补偿</w:t>
      </w:r>
    </w:p>
    <w:p w14:paraId="4418022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大标宋简体" w:hAnsi="微软雅黑" w:eastAsia="方正大标宋简体"/>
          <w:color w:val="000000" w:themeColor="text1"/>
          <w:spacing w:val="-20"/>
          <w:sz w:val="44"/>
          <w:szCs w:val="44"/>
          <w:highlight w:val="none"/>
          <w:shd w:val="clear" w:color="auto" w:fill="FFFFFF"/>
          <w14:textFill>
            <w14:solidFill>
              <w14:schemeClr w14:val="tx1"/>
            </w14:solidFill>
          </w14:textFill>
        </w:rPr>
      </w:pPr>
      <w:r>
        <w:rPr>
          <w:rFonts w:hint="eastAsia" w:ascii="方正大标宋简体" w:hAnsi="微软雅黑" w:eastAsia="方正大标宋简体"/>
          <w:color w:val="000000" w:themeColor="text1"/>
          <w:spacing w:val="-20"/>
          <w:sz w:val="44"/>
          <w:szCs w:val="44"/>
          <w:highlight w:val="none"/>
          <w:shd w:val="clear" w:color="auto" w:fill="FFFFFF"/>
          <w14:textFill>
            <w14:solidFill>
              <w14:schemeClr w14:val="tx1"/>
            </w14:solidFill>
          </w14:textFill>
        </w:rPr>
        <w:t>绩效自评价报告</w:t>
      </w:r>
    </w:p>
    <w:p w14:paraId="10E8545F">
      <w:pPr>
        <w:keepNext w:val="0"/>
        <w:keepLines w:val="0"/>
        <w:pageBreakBefore w:val="0"/>
        <w:widowControl w:val="0"/>
        <w:kinsoku/>
        <w:wordWrap/>
        <w:topLinePunct w:val="0"/>
        <w:bidi w:val="0"/>
        <w:snapToGrid w:val="0"/>
        <w:spacing w:line="530" w:lineRule="exact"/>
        <w:ind w:firstLine="720" w:firstLineChars="200"/>
        <w:jc w:val="center"/>
        <w:outlineLvl w:val="0"/>
        <w:rPr>
          <w:rFonts w:hint="eastAsia" w:ascii="黑体" w:hAnsi="黑体" w:eastAsia="黑体" w:cs="黑体"/>
          <w:color w:val="000000" w:themeColor="text1"/>
          <w:sz w:val="36"/>
          <w:szCs w:val="36"/>
          <w:highlight w:val="none"/>
          <w:lang w:val="en-US" w:eastAsia="zh-CN"/>
          <w14:textFill>
            <w14:solidFill>
              <w14:schemeClr w14:val="tx1"/>
            </w14:solidFill>
          </w14:textFill>
        </w:rPr>
      </w:pPr>
      <w:bookmarkStart w:id="0" w:name="_Toc10569"/>
      <w:bookmarkStart w:id="1" w:name="_Toc9731_WPSOffice_Level1"/>
      <w:bookmarkStart w:id="2" w:name="_Toc18739_WPSOffice_Level1"/>
      <w:bookmarkStart w:id="3" w:name="_Toc4760"/>
      <w:bookmarkStart w:id="4" w:name="_Toc25491"/>
      <w:bookmarkStart w:id="5" w:name="_Toc360425629"/>
      <w:bookmarkStart w:id="6" w:name="_Toc431855272"/>
      <w:bookmarkStart w:id="7" w:name="_Toc30260"/>
      <w:bookmarkStart w:id="8" w:name="_Toc20119"/>
      <w:bookmarkStart w:id="9" w:name="_Toc23979"/>
    </w:p>
    <w:p w14:paraId="6EE61E19">
      <w:pPr>
        <w:keepNext w:val="0"/>
        <w:keepLines w:val="0"/>
        <w:pageBreakBefore w:val="0"/>
        <w:widowControl w:val="0"/>
        <w:kinsoku/>
        <w:wordWrap/>
        <w:topLinePunct w:val="0"/>
        <w:bidi w:val="0"/>
        <w:snapToGrid w:val="0"/>
        <w:spacing w:line="580" w:lineRule="exact"/>
        <w:ind w:firstLine="640" w:firstLineChars="200"/>
        <w:jc w:val="both"/>
        <w:outlineLvl w:val="0"/>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一、项目概况</w:t>
      </w:r>
      <w:bookmarkEnd w:id="0"/>
      <w:bookmarkEnd w:id="1"/>
      <w:bookmarkEnd w:id="2"/>
      <w:bookmarkEnd w:id="3"/>
      <w:bookmarkEnd w:id="4"/>
      <w:bookmarkEnd w:id="5"/>
      <w:bookmarkEnd w:id="6"/>
      <w:bookmarkEnd w:id="7"/>
      <w:bookmarkEnd w:id="8"/>
      <w:bookmarkEnd w:id="9"/>
    </w:p>
    <w:p w14:paraId="1FFB6678">
      <w:pPr>
        <w:keepNext w:val="0"/>
        <w:keepLines w:val="0"/>
        <w:pageBreakBefore w:val="0"/>
        <w:widowControl w:val="0"/>
        <w:tabs>
          <w:tab w:val="left" w:pos="624"/>
          <w:tab w:val="left" w:pos="669"/>
        </w:tabs>
        <w:kinsoku/>
        <w:wordWrap/>
        <w:topLinePunct w:val="0"/>
        <w:bidi w:val="0"/>
        <w:snapToGrid w:val="0"/>
        <w:spacing w:line="580" w:lineRule="exact"/>
        <w:ind w:firstLine="643" w:firstLineChars="200"/>
        <w:jc w:val="both"/>
        <w:outlineLvl w:val="1"/>
        <w:rPr>
          <w:rFonts w:hint="eastAsia" w:ascii="Times New Roman" w:hAnsi="Times New Roman" w:eastAsia="方正仿宋_GBK" w:cs="Times New Roman"/>
          <w:b/>
          <w:bCs/>
          <w:color w:val="000000" w:themeColor="text1"/>
          <w:sz w:val="32"/>
          <w:szCs w:val="32"/>
          <w:highlight w:val="none"/>
          <w:lang w:eastAsia="zh-CN"/>
          <w14:textFill>
            <w14:solidFill>
              <w14:schemeClr w14:val="tx1"/>
            </w14:solidFill>
          </w14:textFill>
        </w:rPr>
      </w:pPr>
      <w:bookmarkStart w:id="10" w:name="_Toc8889"/>
      <w:bookmarkStart w:id="11" w:name="_Toc23590"/>
      <w:bookmarkStart w:id="12" w:name="_Toc5900"/>
      <w:bookmarkStart w:id="13" w:name="_Toc21220"/>
      <w:bookmarkStart w:id="14" w:name="_Toc7811_WPSOffice_Level2"/>
      <w:bookmarkStart w:id="15" w:name="_Toc431855273"/>
      <w:bookmarkStart w:id="16" w:name="_Toc360425630"/>
      <w:bookmarkStart w:id="17" w:name="_Toc359506763"/>
      <w:bookmarkStart w:id="18" w:name="_Toc24688"/>
      <w:bookmarkStart w:id="19" w:name="_Toc25579"/>
      <w:r>
        <w:rPr>
          <w:rFonts w:hint="eastAsia" w:ascii="Times New Roman" w:hAnsi="Times New Roman" w:eastAsia="方正仿宋_GBK" w:cs="Times New Roman"/>
          <w:b/>
          <w:bCs/>
          <w:color w:val="000000" w:themeColor="text1"/>
          <w:sz w:val="32"/>
          <w:szCs w:val="32"/>
          <w:highlight w:val="none"/>
          <w14:textFill>
            <w14:solidFill>
              <w14:schemeClr w14:val="tx1"/>
            </w14:solidFill>
          </w14:textFill>
        </w:rPr>
        <w:t>（一）项目</w:t>
      </w:r>
      <w:bookmarkEnd w:id="10"/>
      <w:bookmarkEnd w:id="11"/>
      <w:bookmarkEnd w:id="12"/>
      <w:bookmarkEnd w:id="13"/>
      <w:bookmarkEnd w:id="14"/>
      <w:bookmarkEnd w:id="15"/>
      <w:bookmarkEnd w:id="16"/>
      <w:bookmarkEnd w:id="17"/>
      <w:bookmarkEnd w:id="18"/>
      <w:bookmarkEnd w:id="19"/>
      <w:r>
        <w:rPr>
          <w:rFonts w:hint="eastAsia" w:ascii="Times New Roman" w:hAnsi="Times New Roman" w:eastAsia="方正仿宋_GBK" w:cs="Times New Roman"/>
          <w:b/>
          <w:bCs/>
          <w:color w:val="000000" w:themeColor="text1"/>
          <w:sz w:val="32"/>
          <w:szCs w:val="32"/>
          <w:highlight w:val="none"/>
          <w:lang w:eastAsia="zh-CN"/>
          <w14:textFill>
            <w14:solidFill>
              <w14:schemeClr w14:val="tx1"/>
            </w14:solidFill>
          </w14:textFill>
        </w:rPr>
        <w:t>基本情况</w:t>
      </w:r>
    </w:p>
    <w:p w14:paraId="00FBF439">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南京市为深入贯彻《中华人民共和国森林法》《国家级公益林管理办法》《江苏省生态公益林条例》和相关规定，更好地保护辖区生态公益林建设，出台了《市政府关于印发南京市市级生态公益林管理办法的通知》（宁政规字〔2013〕22号）、《南京市生态保护补偿办法》（南京市人民政府令第336号）等规定，进一步完善了南京市生态保护补偿机制，保护和改善了生态环境，提升了生态文明建设水平。</w:t>
      </w:r>
    </w:p>
    <w:p w14:paraId="299027D3">
      <w:pPr>
        <w:keepNext w:val="0"/>
        <w:keepLines w:val="0"/>
        <w:pageBreakBefore w:val="0"/>
        <w:widowControl w:val="0"/>
        <w:tabs>
          <w:tab w:val="left" w:pos="624"/>
          <w:tab w:val="left" w:pos="669"/>
        </w:tabs>
        <w:kinsoku/>
        <w:wordWrap/>
        <w:topLinePunct w:val="0"/>
        <w:bidi w:val="0"/>
        <w:snapToGrid w:val="0"/>
        <w:spacing w:line="580" w:lineRule="exact"/>
        <w:ind w:firstLine="643" w:firstLineChars="200"/>
        <w:jc w:val="both"/>
        <w:outlineLvl w:val="1"/>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pPr>
      <w:bookmarkStart w:id="20" w:name="_Toc31192"/>
      <w:bookmarkStart w:id="21" w:name="_Toc25713"/>
      <w:bookmarkStart w:id="22" w:name="_Toc18696"/>
      <w:bookmarkStart w:id="23" w:name="_Toc23692"/>
      <w:bookmarkStart w:id="24" w:name="_Toc20989"/>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（二）</w:t>
      </w:r>
      <w:bookmarkEnd w:id="20"/>
      <w:bookmarkEnd w:id="21"/>
      <w:bookmarkEnd w:id="22"/>
      <w:bookmarkEnd w:id="23"/>
      <w:bookmarkEnd w:id="24"/>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项目资金情况</w:t>
      </w:r>
    </w:p>
    <w:p w14:paraId="3700BFEE">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经批准，2024年市级生态公益林补偿资金年初预算3800万元。根据《南京市生态保护补偿办法》有关要求，目前执行的补偿标准为每年100元/亩，市级以上生态公益林补偿资金在扣除省级以上补助资金后，由市、区两级财政各按50%承担。由于2024年10月省级分配的补偿资金增加等，市级承担的生态公益林补偿资金相应减少，实际拨付3380.275万元（省级以上公益林2059.16万元，市级公益林</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1321.1150</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万元）。</w:t>
      </w:r>
    </w:p>
    <w:p w14:paraId="21A88CC1">
      <w:pPr>
        <w:keepNext w:val="0"/>
        <w:keepLines w:val="0"/>
        <w:pageBreakBefore w:val="0"/>
        <w:widowControl w:val="0"/>
        <w:tabs>
          <w:tab w:val="left" w:pos="624"/>
          <w:tab w:val="left" w:pos="669"/>
        </w:tabs>
        <w:kinsoku/>
        <w:wordWrap/>
        <w:topLinePunct w:val="0"/>
        <w:bidi w:val="0"/>
        <w:snapToGrid w:val="0"/>
        <w:spacing w:line="580" w:lineRule="exact"/>
        <w:ind w:firstLine="643" w:firstLineChars="200"/>
        <w:jc w:val="both"/>
        <w:outlineLvl w:val="1"/>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pPr>
      <w:bookmarkStart w:id="25" w:name="_Toc22471"/>
      <w:bookmarkStart w:id="26" w:name="_Toc6235"/>
      <w:bookmarkStart w:id="27" w:name="_Toc23722"/>
      <w:bookmarkStart w:id="28" w:name="_Toc20624"/>
      <w:bookmarkStart w:id="29" w:name="_Toc21949"/>
      <w:bookmarkStart w:id="30" w:name="_Toc30294"/>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（四）绩效目标</w:t>
      </w:r>
      <w:bookmarkEnd w:id="25"/>
      <w:bookmarkEnd w:id="26"/>
      <w:bookmarkEnd w:id="27"/>
      <w:bookmarkEnd w:id="28"/>
      <w:bookmarkEnd w:id="29"/>
      <w:bookmarkEnd w:id="30"/>
    </w:p>
    <w:p w14:paraId="156D595A">
      <w:pPr>
        <w:keepNext w:val="0"/>
        <w:keepLines w:val="0"/>
        <w:pageBreakBefore w:val="0"/>
        <w:widowControl w:val="0"/>
        <w:kinsoku/>
        <w:wordWrap/>
        <w:topLinePunct w:val="0"/>
        <w:bidi w:val="0"/>
        <w:snapToGrid w:val="0"/>
        <w:spacing w:line="580" w:lineRule="exact"/>
        <w:ind w:firstLine="643" w:firstLineChars="200"/>
        <w:jc w:val="both"/>
        <w:outlineLvl w:val="2"/>
        <w:rPr>
          <w:rFonts w:hint="eastAsia" w:ascii="Times New Roman" w:hAnsi="Times New Roman" w:eastAsia="方正仿宋_GBK" w:cs="Times New Roman"/>
          <w:b/>
          <w:bCs/>
          <w:color w:val="000000" w:themeColor="text1"/>
          <w:sz w:val="32"/>
          <w:szCs w:val="32"/>
          <w:highlight w:val="none"/>
          <w14:textFill>
            <w14:solidFill>
              <w14:schemeClr w14:val="tx1"/>
            </w14:solidFill>
          </w14:textFill>
        </w:rPr>
      </w:pPr>
      <w:bookmarkStart w:id="31" w:name="_Toc7453"/>
      <w:bookmarkStart w:id="32" w:name="_Toc25007"/>
      <w:bookmarkStart w:id="33" w:name="_Toc4117"/>
      <w:bookmarkStart w:id="34" w:name="_Toc23756"/>
      <w:bookmarkStart w:id="35" w:name="_Toc6865"/>
      <w:r>
        <w:rPr>
          <w:rFonts w:hint="eastAsia" w:ascii="Times New Roman" w:hAnsi="Times New Roman" w:eastAsia="方正仿宋_GBK" w:cs="Times New Roman"/>
          <w:b/>
          <w:bCs/>
          <w:color w:val="000000" w:themeColor="text1"/>
          <w:sz w:val="32"/>
          <w:szCs w:val="32"/>
          <w:highlight w:val="none"/>
          <w14:textFill>
            <w14:solidFill>
              <w14:schemeClr w14:val="tx1"/>
            </w14:solidFill>
          </w14:textFill>
        </w:rPr>
        <w:t>1</w:t>
      </w:r>
      <w:r>
        <w:rPr>
          <w:rFonts w:hint="eastAsia" w:ascii="Times New Roman" w:hAnsi="Times New Roman" w:eastAsia="方正仿宋_GBK"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imes New Roman"/>
          <w:b/>
          <w:bCs/>
          <w:color w:val="000000" w:themeColor="text1"/>
          <w:sz w:val="32"/>
          <w:szCs w:val="32"/>
          <w:highlight w:val="none"/>
          <w14:textFill>
            <w14:solidFill>
              <w14:schemeClr w14:val="tx1"/>
            </w14:solidFill>
          </w14:textFill>
        </w:rPr>
        <w:t>绩效</w:t>
      </w:r>
      <w:r>
        <w:rPr>
          <w:rFonts w:hint="eastAsia" w:ascii="Times New Roman" w:hAnsi="Times New Roman" w:eastAsia="方正仿宋_GBK" w:cs="Times New Roman"/>
          <w:b/>
          <w:bCs/>
          <w:color w:val="000000" w:themeColor="text1"/>
          <w:sz w:val="32"/>
          <w:szCs w:val="32"/>
          <w:highlight w:val="none"/>
          <w:lang w:eastAsia="zh-CN"/>
          <w14:textFill>
            <w14:solidFill>
              <w14:schemeClr w14:val="tx1"/>
            </w14:solidFill>
          </w14:textFill>
        </w:rPr>
        <w:t>总</w:t>
      </w:r>
      <w:r>
        <w:rPr>
          <w:rFonts w:hint="eastAsia" w:ascii="Times New Roman" w:hAnsi="Times New Roman" w:eastAsia="方正仿宋_GBK" w:cs="Times New Roman"/>
          <w:b/>
          <w:bCs/>
          <w:color w:val="000000" w:themeColor="text1"/>
          <w:sz w:val="32"/>
          <w:szCs w:val="32"/>
          <w:highlight w:val="none"/>
          <w14:textFill>
            <w14:solidFill>
              <w14:schemeClr w14:val="tx1"/>
            </w14:solidFill>
          </w14:textFill>
        </w:rPr>
        <w:t>目标</w:t>
      </w:r>
      <w:bookmarkEnd w:id="31"/>
      <w:bookmarkEnd w:id="32"/>
      <w:bookmarkEnd w:id="33"/>
      <w:bookmarkEnd w:id="34"/>
      <w:bookmarkEnd w:id="35"/>
    </w:p>
    <w:p w14:paraId="228EC2C2">
      <w:pPr>
        <w:keepNext w:val="0"/>
        <w:keepLines w:val="0"/>
        <w:pageBreakBefore w:val="0"/>
        <w:widowControl w:val="0"/>
        <w:kinsoku/>
        <w:wordWrap/>
        <w:topLinePunct w:val="0"/>
        <w:bidi w:val="0"/>
        <w:snapToGrid w:val="0"/>
        <w:spacing w:line="580" w:lineRule="exact"/>
        <w:ind w:firstLine="640" w:firstLineChars="200"/>
        <w:jc w:val="both"/>
        <w:outlineLvl w:val="2"/>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bookmarkStart w:id="36" w:name="_Toc8483"/>
      <w:bookmarkStart w:id="37" w:name="_Toc18814"/>
      <w:bookmarkStart w:id="38" w:name="_Toc32115"/>
      <w:bookmarkStart w:id="39" w:name="_Toc23125"/>
      <w:bookmarkStart w:id="40" w:name="_Toc27155"/>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保持省级以上生态公益林面积基本稳定，实现重点公益林面积保存率达100%；森林火灾防控到位、保护标示牌和边界标志设置齐全等。</w:t>
      </w:r>
    </w:p>
    <w:p w14:paraId="6B869032">
      <w:pPr>
        <w:keepNext w:val="0"/>
        <w:keepLines w:val="0"/>
        <w:pageBreakBefore w:val="0"/>
        <w:widowControl w:val="0"/>
        <w:kinsoku/>
        <w:wordWrap/>
        <w:topLinePunct w:val="0"/>
        <w:bidi w:val="0"/>
        <w:snapToGrid w:val="0"/>
        <w:spacing w:line="580" w:lineRule="exact"/>
        <w:ind w:firstLine="643" w:firstLineChars="200"/>
        <w:jc w:val="both"/>
        <w:outlineLvl w:val="2"/>
        <w:rPr>
          <w:rFonts w:hint="eastAsia" w:ascii="Times New Roman" w:hAnsi="Times New Roman" w:eastAsia="方正仿宋_GBK" w:cs="Times New Roman"/>
          <w:b/>
          <w:bCs/>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b/>
          <w:bCs/>
          <w:color w:val="000000" w:themeColor="text1"/>
          <w:sz w:val="32"/>
          <w:szCs w:val="32"/>
          <w:highlight w:val="none"/>
          <w14:textFill>
            <w14:solidFill>
              <w14:schemeClr w14:val="tx1"/>
            </w14:solidFill>
          </w14:textFill>
        </w:rPr>
        <w:t>2</w:t>
      </w:r>
      <w:r>
        <w:rPr>
          <w:rFonts w:hint="eastAsia" w:ascii="Times New Roman" w:hAnsi="Times New Roman" w:eastAsia="方正仿宋_GBK"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年度</w:t>
      </w:r>
      <w:r>
        <w:rPr>
          <w:rFonts w:hint="eastAsia" w:ascii="Times New Roman" w:hAnsi="Times New Roman" w:eastAsia="方正仿宋_GBK" w:cs="Times New Roman"/>
          <w:b/>
          <w:bCs/>
          <w:color w:val="000000" w:themeColor="text1"/>
          <w:sz w:val="32"/>
          <w:szCs w:val="32"/>
          <w:highlight w:val="none"/>
          <w14:textFill>
            <w14:solidFill>
              <w14:schemeClr w14:val="tx1"/>
            </w14:solidFill>
          </w14:textFill>
        </w:rPr>
        <w:t>绩效目标</w:t>
      </w:r>
      <w:bookmarkEnd w:id="36"/>
      <w:bookmarkEnd w:id="37"/>
      <w:bookmarkEnd w:id="38"/>
      <w:bookmarkEnd w:id="39"/>
      <w:bookmarkEnd w:id="40"/>
    </w:p>
    <w:p w14:paraId="28A447D0">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eastAsia="方正仿宋_GBK"/>
          <w:sz w:val="32"/>
          <w:szCs w:val="32"/>
          <w:highlight w:val="none"/>
          <w:lang w:val="en-US" w:eastAsia="zh-CN"/>
        </w:rPr>
        <w:t>2024年，</w:t>
      </w:r>
      <w:r>
        <w:rPr>
          <w:rFonts w:eastAsia="方正仿宋_GBK"/>
          <w:sz w:val="32"/>
          <w:szCs w:val="32"/>
          <w:highlight w:val="none"/>
        </w:rPr>
        <w:t>根据《江苏省林业局关于开展省级以上公益林优化落界工作的通知》（苏林资〔2024〕15号）要求，我局指导各区以</w:t>
      </w:r>
      <w:r>
        <w:rPr>
          <w:rFonts w:hint="eastAsia" w:eastAsia="方正仿宋_GBK"/>
          <w:sz w:val="32"/>
          <w:szCs w:val="32"/>
          <w:highlight w:val="none"/>
          <w:lang w:eastAsia="zh-CN"/>
        </w:rPr>
        <w:t>“</w:t>
      </w:r>
      <w:r>
        <w:rPr>
          <w:rFonts w:eastAsia="方正仿宋_GBK"/>
          <w:sz w:val="32"/>
          <w:szCs w:val="32"/>
          <w:highlight w:val="none"/>
        </w:rPr>
        <w:t>三调</w:t>
      </w:r>
      <w:r>
        <w:rPr>
          <w:rFonts w:hint="eastAsia" w:eastAsia="方正仿宋_GBK"/>
          <w:sz w:val="32"/>
          <w:szCs w:val="32"/>
          <w:highlight w:val="none"/>
          <w:lang w:eastAsia="zh-CN"/>
        </w:rPr>
        <w:t>”</w:t>
      </w:r>
      <w:r>
        <w:rPr>
          <w:rFonts w:eastAsia="方正仿宋_GBK"/>
          <w:sz w:val="32"/>
          <w:szCs w:val="32"/>
          <w:highlight w:val="none"/>
        </w:rPr>
        <w:t>数据成果为底版，充分衔接国土空间总体规划，严格落实技术规程，编制</w:t>
      </w:r>
      <w:r>
        <w:rPr>
          <w:rFonts w:hint="eastAsia" w:eastAsia="方正仿宋_GBK"/>
          <w:sz w:val="32"/>
          <w:szCs w:val="32"/>
          <w:highlight w:val="none"/>
          <w:lang w:eastAsia="zh-CN"/>
        </w:rPr>
        <w:t>形成南京市</w:t>
      </w:r>
      <w:r>
        <w:rPr>
          <w:rFonts w:eastAsia="方正仿宋_GBK"/>
          <w:sz w:val="32"/>
          <w:szCs w:val="32"/>
          <w:highlight w:val="none"/>
        </w:rPr>
        <w:t>省级公益林优化落界成果数据库。</w:t>
      </w:r>
      <w:r>
        <w:rPr>
          <w:rFonts w:hint="eastAsia" w:eastAsia="方正仿宋_GBK"/>
          <w:sz w:val="32"/>
          <w:szCs w:val="32"/>
          <w:highlight w:val="none"/>
          <w:lang w:eastAsia="zh-CN"/>
        </w:rPr>
        <w:t>同时，依据</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《江苏省生态公益林条例》、《南京市生态保护补偿办法》等相关规定，加强对全市公益林的保护和管理。</w:t>
      </w:r>
    </w:p>
    <w:p w14:paraId="08FC4C6F">
      <w:pPr>
        <w:keepNext w:val="0"/>
        <w:keepLines w:val="0"/>
        <w:pageBreakBefore w:val="0"/>
        <w:widowControl w:val="0"/>
        <w:tabs>
          <w:tab w:val="left" w:pos="624"/>
          <w:tab w:val="left" w:pos="669"/>
        </w:tabs>
        <w:kinsoku/>
        <w:wordWrap/>
        <w:topLinePunct w:val="0"/>
        <w:bidi w:val="0"/>
        <w:snapToGrid w:val="0"/>
        <w:spacing w:line="580" w:lineRule="exact"/>
        <w:ind w:firstLine="640" w:firstLineChars="200"/>
        <w:jc w:val="both"/>
        <w:outlineLvl w:val="1"/>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41" w:name="_Toc14575"/>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二、评价结论</w:t>
      </w:r>
      <w:bookmarkEnd w:id="41"/>
    </w:p>
    <w:p w14:paraId="7D22AB09">
      <w:pPr>
        <w:keepNext w:val="0"/>
        <w:keepLines w:val="0"/>
        <w:pageBreakBefore w:val="0"/>
        <w:widowControl w:val="0"/>
        <w:kinsoku/>
        <w:wordWrap/>
        <w:topLinePunct w:val="0"/>
        <w:bidi w:val="0"/>
        <w:snapToGrid w:val="0"/>
        <w:spacing w:line="580" w:lineRule="exact"/>
        <w:ind w:firstLine="640" w:firstLineChars="200"/>
        <w:jc w:val="both"/>
        <w:outlineLvl w:val="1"/>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（一）评价对象及范围。本次评价范围是2024年度重要生态保护区域补偿专项资金--生态公益林补偿</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专项资金预算编制、过程管理、使用绩效等情况。</w:t>
      </w:r>
    </w:p>
    <w:p w14:paraId="797F2FA3">
      <w:pPr>
        <w:keepNext w:val="0"/>
        <w:keepLines w:val="0"/>
        <w:pageBreakBefore w:val="0"/>
        <w:widowControl w:val="0"/>
        <w:kinsoku/>
        <w:wordWrap/>
        <w:topLinePunct w:val="0"/>
        <w:bidi w:val="0"/>
        <w:snapToGrid w:val="0"/>
        <w:spacing w:line="580" w:lineRule="exact"/>
        <w:ind w:firstLine="640" w:firstLineChars="200"/>
        <w:jc w:val="both"/>
        <w:outlineLvl w:val="1"/>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（二）评价结论及结果。本次绩效评价指标分为</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4</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大类、2</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2</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个指标。根据各项指标实现情况，评价组得出的绩效评价结论如下：</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生态公益林补偿</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专项资金拨付及时，</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全市生态公益林保持稳定。</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综合评价得分</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99.67</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分，等级为“优”。</w:t>
      </w:r>
    </w:p>
    <w:p w14:paraId="44DCC4F2">
      <w:pPr>
        <w:keepNext w:val="0"/>
        <w:keepLines w:val="0"/>
        <w:pageBreakBefore w:val="0"/>
        <w:widowControl w:val="0"/>
        <w:tabs>
          <w:tab w:val="left" w:pos="624"/>
          <w:tab w:val="left" w:pos="669"/>
        </w:tabs>
        <w:kinsoku/>
        <w:wordWrap/>
        <w:topLinePunct w:val="0"/>
        <w:bidi w:val="0"/>
        <w:snapToGrid w:val="0"/>
        <w:spacing w:line="580" w:lineRule="exact"/>
        <w:ind w:firstLine="640" w:firstLineChars="200"/>
        <w:jc w:val="both"/>
        <w:outlineLvl w:val="1"/>
        <w:rPr>
          <w:rFonts w:hint="eastAsia" w:ascii="黑体" w:hAnsi="黑体" w:eastAsia="黑体" w:cs="黑体"/>
          <w:b w:val="0"/>
          <w:bCs w:val="0"/>
          <w:color w:val="000000" w:themeColor="text1"/>
          <w:sz w:val="32"/>
          <w:szCs w:val="32"/>
          <w:highlight w:val="none"/>
          <w:u w:val="none"/>
          <w:lang w:val="en-US" w:eastAsia="zh-CN"/>
          <w14:textFill>
            <w14:solidFill>
              <w14:schemeClr w14:val="tx1"/>
            </w14:solidFill>
          </w14:textFill>
        </w:rPr>
      </w:pPr>
      <w:bookmarkStart w:id="42" w:name="_Toc20112"/>
      <w:r>
        <w:rPr>
          <w:rFonts w:hint="eastAsia" w:ascii="黑体" w:hAnsi="黑体" w:eastAsia="黑体" w:cs="黑体"/>
          <w:b w:val="0"/>
          <w:bCs w:val="0"/>
          <w:color w:val="000000" w:themeColor="text1"/>
          <w:sz w:val="32"/>
          <w:szCs w:val="32"/>
          <w:highlight w:val="none"/>
          <w:u w:val="none"/>
          <w:lang w:val="en-US" w:eastAsia="zh-CN"/>
          <w14:textFill>
            <w14:solidFill>
              <w14:schemeClr w14:val="tx1"/>
            </w14:solidFill>
          </w14:textFill>
        </w:rPr>
        <w:t>三、项目成效</w:t>
      </w:r>
      <w:bookmarkEnd w:id="42"/>
    </w:p>
    <w:p w14:paraId="6D1740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sz w:val="32"/>
          <w:szCs w:val="32"/>
          <w:highlight w:val="none"/>
        </w:rPr>
        <w:t>2024年，</w:t>
      </w:r>
      <w:r>
        <w:rPr>
          <w:rFonts w:hint="eastAsia" w:ascii="Times New Roman" w:hAnsi="Times New Roman" w:eastAsia="方正仿宋_GBK"/>
          <w:sz w:val="32"/>
          <w:szCs w:val="32"/>
          <w:highlight w:val="none"/>
          <w:lang w:eastAsia="zh-CN"/>
        </w:rPr>
        <w:t>依据</w:t>
      </w:r>
      <w:r>
        <w:rPr>
          <w:rFonts w:hint="eastAsia" w:ascii="Times New Roman" w:hAnsi="Times New Roman" w:eastAsia="方正仿宋_GBK"/>
          <w:sz w:val="32"/>
          <w:szCs w:val="32"/>
          <w:highlight w:val="none"/>
        </w:rPr>
        <w:t>省林业局《关于开展省级以上公益林优化落界工作的通知》（苏林资〔</w:t>
      </w:r>
      <w:r>
        <w:rPr>
          <w:rFonts w:ascii="Times New Roman" w:hAnsi="Times New Roman" w:eastAsia="方正仿宋_GBK"/>
          <w:sz w:val="32"/>
          <w:szCs w:val="32"/>
          <w:highlight w:val="none"/>
        </w:rPr>
        <w:t>2024</w:t>
      </w:r>
      <w:r>
        <w:rPr>
          <w:rFonts w:hint="eastAsia" w:ascii="Times New Roman" w:hAnsi="Times New Roman" w:eastAsia="方正仿宋_GBK"/>
          <w:sz w:val="32"/>
          <w:szCs w:val="32"/>
          <w:highlight w:val="none"/>
        </w:rPr>
        <w:t>〕</w:t>
      </w:r>
      <w:r>
        <w:rPr>
          <w:rFonts w:ascii="Times New Roman" w:hAnsi="Times New Roman" w:eastAsia="方正仿宋_GBK"/>
          <w:sz w:val="32"/>
          <w:szCs w:val="32"/>
          <w:highlight w:val="none"/>
        </w:rPr>
        <w:t>15</w:t>
      </w:r>
      <w:r>
        <w:rPr>
          <w:rFonts w:hint="eastAsia" w:ascii="Times New Roman" w:hAnsi="Times New Roman" w:eastAsia="方正仿宋_GBK"/>
          <w:sz w:val="32"/>
          <w:szCs w:val="32"/>
          <w:highlight w:val="none"/>
        </w:rPr>
        <w:t>号）要求</w:t>
      </w:r>
      <w:r>
        <w:rPr>
          <w:rFonts w:hint="eastAsia" w:ascii="Times New Roman" w:hAnsi="Times New Roman" w:eastAsia="方正仿宋_GBK"/>
          <w:sz w:val="32"/>
          <w:szCs w:val="32"/>
          <w:highlight w:val="none"/>
          <w:lang w:eastAsia="zh-CN"/>
        </w:rPr>
        <w:t>，</w:t>
      </w:r>
      <w:r>
        <w:rPr>
          <w:rFonts w:hint="default" w:ascii="Times New Roman" w:hAnsi="Times New Roman" w:eastAsia="方正仿宋_GBK" w:cs="Times New Roman"/>
          <w:color w:val="auto"/>
          <w:sz w:val="32"/>
          <w:szCs w:val="32"/>
          <w:highlight w:val="none"/>
        </w:rPr>
        <w:t>我</w:t>
      </w:r>
      <w:r>
        <w:rPr>
          <w:rFonts w:hint="eastAsia" w:ascii="Times New Roman" w:hAnsi="Times New Roman" w:eastAsia="方正仿宋_GBK" w:cs="Times New Roman"/>
          <w:color w:val="auto"/>
          <w:sz w:val="32"/>
          <w:szCs w:val="32"/>
          <w:highlight w:val="none"/>
          <w:lang w:eastAsia="zh-CN"/>
        </w:rPr>
        <w:t>局</w:t>
      </w:r>
      <w:r>
        <w:rPr>
          <w:rFonts w:hint="default" w:ascii="Times New Roman" w:hAnsi="Times New Roman" w:eastAsia="方正仿宋_GBK" w:cs="Times New Roman"/>
          <w:color w:val="auto"/>
          <w:sz w:val="32"/>
          <w:szCs w:val="32"/>
          <w:highlight w:val="none"/>
        </w:rPr>
        <w:t>指导各区以“三调”数据成果为底版，充分衔接国土空间总体规划，严格落实技术规程，编制形成了省级公益林优化落界成果数据库。</w:t>
      </w:r>
      <w:r>
        <w:rPr>
          <w:rFonts w:hint="eastAsia" w:eastAsia="方正仿宋_GBK"/>
          <w:sz w:val="32"/>
          <w:szCs w:val="32"/>
          <w:highlight w:val="none"/>
          <w:lang w:eastAsia="zh-CN"/>
        </w:rPr>
        <w:t>相关工</w:t>
      </w:r>
      <w:r>
        <w:rPr>
          <w:rFonts w:hint="eastAsia" w:ascii="Times New Roman" w:hAnsi="Times New Roman" w:eastAsia="方正仿宋_GBK"/>
          <w:sz w:val="32"/>
          <w:szCs w:val="32"/>
          <w:highlight w:val="none"/>
          <w:lang w:eastAsia="zh-CN"/>
        </w:rPr>
        <w:t>作成果由</w:t>
      </w:r>
      <w:r>
        <w:rPr>
          <w:rFonts w:hint="default" w:ascii="Times New Roman" w:hAnsi="Times New Roman" w:eastAsia="方正仿宋_GBK"/>
          <w:sz w:val="32"/>
          <w:szCs w:val="32"/>
          <w:highlight w:val="none"/>
        </w:rPr>
        <w:t>各区人民政府上报</w:t>
      </w:r>
      <w:r>
        <w:rPr>
          <w:rFonts w:hint="eastAsia" w:ascii="Times New Roman" w:hAnsi="Times New Roman" w:eastAsia="方正仿宋_GBK"/>
          <w:sz w:val="32"/>
          <w:szCs w:val="32"/>
          <w:highlight w:val="none"/>
          <w:lang w:eastAsia="zh-CN"/>
        </w:rPr>
        <w:t>，经市政府同意后报送</w:t>
      </w:r>
      <w:r>
        <w:rPr>
          <w:rFonts w:hint="eastAsia" w:ascii="Times New Roman" w:hAnsi="Times New Roman" w:eastAsia="方正仿宋_GBK"/>
          <w:sz w:val="32"/>
          <w:szCs w:val="32"/>
          <w:highlight w:val="none"/>
          <w:lang w:val="en-US" w:eastAsia="zh-CN"/>
        </w:rPr>
        <w:t>省林业局</w:t>
      </w:r>
      <w:r>
        <w:rPr>
          <w:rFonts w:hint="default" w:ascii="Times New Roman" w:hAnsi="Times New Roman" w:eastAsia="方正仿宋_GBK"/>
          <w:sz w:val="32"/>
          <w:szCs w:val="32"/>
          <w:highlight w:val="none"/>
        </w:rPr>
        <w:t>。</w:t>
      </w:r>
      <w:r>
        <w:rPr>
          <w:rFonts w:hint="eastAsia" w:ascii="Times New Roman" w:hAnsi="Times New Roman" w:eastAsia="方正仿宋_GBK"/>
          <w:sz w:val="32"/>
          <w:szCs w:val="32"/>
          <w:highlight w:val="none"/>
          <w:lang w:val="en-US" w:eastAsia="zh-CN"/>
        </w:rPr>
        <w:t>2025年2月，我</w:t>
      </w:r>
      <w:r>
        <w:rPr>
          <w:rFonts w:ascii="Times New Roman" w:hAnsi="Times New Roman" w:eastAsia="方正仿宋_GBK"/>
          <w:sz w:val="32"/>
          <w:szCs w:val="32"/>
          <w:highlight w:val="none"/>
        </w:rPr>
        <w:t>市省级公益林优化落界成果</w:t>
      </w:r>
      <w:r>
        <w:rPr>
          <w:rFonts w:hint="eastAsia" w:ascii="Times New Roman" w:hAnsi="Times New Roman" w:eastAsia="方正仿宋_GBK"/>
          <w:sz w:val="32"/>
          <w:szCs w:val="32"/>
          <w:highlight w:val="none"/>
          <w:lang w:eastAsia="zh-CN"/>
        </w:rPr>
        <w:t>经省政府审核同意，由省林业局公告发布</w:t>
      </w:r>
      <w:r>
        <w:rPr>
          <w:rFonts w:hint="eastAsia" w:ascii="Times New Roman" w:hAnsi="Times New Roman" w:eastAsia="方正仿宋_GBK" w:cs="Times New Roman"/>
          <w:sz w:val="32"/>
          <w:szCs w:val="32"/>
          <w:highlight w:val="none"/>
          <w:lang w:eastAsia="zh-CN"/>
        </w:rPr>
        <w:t>。</w:t>
      </w:r>
      <w:bookmarkStart w:id="43" w:name="_Toc29230"/>
    </w:p>
    <w:p w14:paraId="0521F6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按照</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《南京市生态保护补偿办法》（南京市人民政府令第336号）有关规定，市级生态公益林补偿资金</w:t>
      </w:r>
      <w:r>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已按规定及时、足额拨付。2024年，我市重点公益林变更调整手续完备、保护标示牌和边界标志基本齐全、森林火灾防控到位，切实保障了林权单位的合法权益，持续巩固了公益林的生态效益。</w:t>
      </w:r>
    </w:p>
    <w:p w14:paraId="11932C9C">
      <w:pPr>
        <w:keepNext w:val="0"/>
        <w:keepLines w:val="0"/>
        <w:pageBreakBefore w:val="0"/>
        <w:widowControl w:val="0"/>
        <w:numPr>
          <w:ilvl w:val="0"/>
          <w:numId w:val="1"/>
        </w:numPr>
        <w:tabs>
          <w:tab w:val="left" w:pos="624"/>
          <w:tab w:val="left" w:pos="669"/>
        </w:tabs>
        <w:kinsoku/>
        <w:wordWrap/>
        <w:topLinePunct w:val="0"/>
        <w:bidi w:val="0"/>
        <w:snapToGrid w:val="0"/>
        <w:spacing w:line="580" w:lineRule="exact"/>
        <w:ind w:firstLine="640" w:firstLineChars="200"/>
        <w:jc w:val="both"/>
        <w:outlineLvl w:val="1"/>
        <w:rPr>
          <w:rFonts w:hint="eastAsia" w:ascii="黑体" w:hAnsi="黑体" w:eastAsia="黑体" w:cs="Times New Roman"/>
          <w:color w:val="000000" w:themeColor="text1"/>
          <w:sz w:val="32"/>
          <w:highlight w:val="none"/>
          <w:lang w:val="en-US" w:eastAsia="zh-CN"/>
          <w14:textFill>
            <w14:solidFill>
              <w14:schemeClr w14:val="tx1"/>
            </w14:solidFill>
          </w14:textFill>
        </w:rPr>
      </w:pPr>
      <w:r>
        <w:rPr>
          <w:rFonts w:hint="eastAsia" w:ascii="黑体" w:hAnsi="黑体" w:eastAsia="黑体" w:cs="Times New Roman"/>
          <w:color w:val="000000" w:themeColor="text1"/>
          <w:sz w:val="32"/>
          <w:highlight w:val="none"/>
          <w:lang w:val="en-US" w:eastAsia="zh-CN"/>
          <w14:textFill>
            <w14:solidFill>
              <w14:schemeClr w14:val="tx1"/>
            </w14:solidFill>
          </w14:textFill>
        </w:rPr>
        <w:t>存在问题及原因分析</w:t>
      </w:r>
    </w:p>
    <w:bookmarkEnd w:id="43"/>
    <w:p w14:paraId="2C1647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方正仿宋_GBK"/>
          <w:sz w:val="32"/>
          <w:szCs w:val="32"/>
          <w:highlight w:val="none"/>
          <w:lang w:val="en-US" w:eastAsia="zh-CN"/>
        </w:rPr>
      </w:pPr>
      <w:r>
        <w:rPr>
          <w:rFonts w:hint="eastAsia" w:ascii="Times New Roman" w:hAnsi="Times New Roman" w:eastAsia="方正仿宋_GBK"/>
          <w:sz w:val="32"/>
          <w:szCs w:val="32"/>
          <w:highlight w:val="none"/>
          <w:lang w:val="en-US" w:eastAsia="zh-CN"/>
        </w:rPr>
        <w:t>随着管护成本的提高，部分公益林管理单位反映管护压力较大，希望能够调增补偿标准。</w:t>
      </w:r>
    </w:p>
    <w:p w14:paraId="18FCCD84">
      <w:pPr>
        <w:keepNext w:val="0"/>
        <w:keepLines w:val="0"/>
        <w:pageBreakBefore w:val="0"/>
        <w:widowControl w:val="0"/>
        <w:tabs>
          <w:tab w:val="left" w:pos="624"/>
          <w:tab w:val="left" w:pos="669"/>
        </w:tabs>
        <w:kinsoku/>
        <w:wordWrap/>
        <w:topLinePunct w:val="0"/>
        <w:bidi w:val="0"/>
        <w:snapToGrid w:val="0"/>
        <w:spacing w:line="580" w:lineRule="exact"/>
        <w:ind w:firstLine="640" w:firstLineChars="200"/>
        <w:jc w:val="both"/>
        <w:outlineLvl w:val="1"/>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Times New Roman"/>
          <w:color w:val="000000" w:themeColor="text1"/>
          <w:sz w:val="32"/>
          <w:highlight w:val="none"/>
          <w:lang w:val="en-US" w:eastAsia="zh-CN"/>
          <w14:textFill>
            <w14:solidFill>
              <w14:schemeClr w14:val="tx1"/>
            </w14:solidFill>
          </w14:textFill>
        </w:rPr>
        <w:t>五、有关建议</w:t>
      </w:r>
    </w:p>
    <w:p w14:paraId="46AA6B99">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bookmarkStart w:id="44" w:name="_Toc15826"/>
      <w:bookmarkStart w:id="45" w:name="_Toc6448"/>
      <w:r>
        <w:rPr>
          <w:rFonts w:hint="eastAsia" w:ascii="方正仿宋_GBK" w:hAnsi="方正仿宋_GBK" w:eastAsia="方正仿宋_GBK" w:cs="方正仿宋_GBK"/>
          <w:color w:val="auto"/>
          <w:sz w:val="32"/>
          <w:szCs w:val="32"/>
          <w:highlight w:val="none"/>
          <w:lang w:val="en-US" w:eastAsia="zh-CN"/>
        </w:rPr>
        <w:t>在充分调研论证且市级财力允许的情况下，积极协调调整生态公益林补偿标准。</w:t>
      </w:r>
    </w:p>
    <w:p w14:paraId="49E17818">
      <w:pPr>
        <w:keepNext w:val="0"/>
        <w:keepLines w:val="0"/>
        <w:pageBreakBefore w:val="0"/>
        <w:widowControl w:val="0"/>
        <w:tabs>
          <w:tab w:val="left" w:pos="624"/>
          <w:tab w:val="left" w:pos="669"/>
        </w:tabs>
        <w:kinsoku/>
        <w:wordWrap/>
        <w:topLinePunct w:val="0"/>
        <w:bidi w:val="0"/>
        <w:snapToGrid w:val="0"/>
        <w:spacing w:line="580" w:lineRule="exact"/>
        <w:ind w:firstLine="640" w:firstLineChars="200"/>
        <w:jc w:val="both"/>
        <w:outlineLvl w:val="1"/>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六、评价工作开展情况及其他需说明的情况</w:t>
      </w:r>
    </w:p>
    <w:p w14:paraId="12B452D4">
      <w:pPr>
        <w:keepNext w:val="0"/>
        <w:keepLines w:val="0"/>
        <w:pageBreakBefore w:val="0"/>
        <w:widowControl w:val="0"/>
        <w:tabs>
          <w:tab w:val="left" w:pos="624"/>
          <w:tab w:val="left" w:pos="669"/>
        </w:tabs>
        <w:kinsoku/>
        <w:wordWrap/>
        <w:topLinePunct w:val="0"/>
        <w:bidi w:val="0"/>
        <w:snapToGrid w:val="0"/>
        <w:spacing w:line="580" w:lineRule="exact"/>
        <w:ind w:firstLine="640" w:firstLineChars="200"/>
        <w:jc w:val="both"/>
        <w:outlineLvl w:val="1"/>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按照《南京市市级财政预算绩效评价操作规程（试行）》（宁财绩〔2020〕260号）、《关于开展2025年度预算绩效信息公开工作的通知》（宁财绩〔2025〕41号）、《关于印发2025年南京市市级预算部门（单位）预算绩效管理责任清单的通知》（宁财绩〔2025〕106号）及其他绩效管理要求，在搜集准备、核实、验证有关资料的基础上，全面分析绿色南京各项目的第三方验收报告、上级林业主管部门有关检查资料、市级审计部门有关检查监督资料等，对照绩效评价指标体系，主要采取指标法、因素法</w:t>
      </w:r>
      <w:bookmarkStart w:id="47" w:name="_GoBack"/>
      <w:bookmarkEnd w:id="47"/>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、比较法、成本效益法、最低成本法和第三方评判法等评价方法，对2024年度生态公益林补偿专项资金绩效进行自评价。</w:t>
      </w:r>
    </w:p>
    <w:p w14:paraId="256D8543">
      <w:pPr>
        <w:keepNext w:val="0"/>
        <w:keepLines w:val="0"/>
        <w:pageBreakBefore w:val="0"/>
        <w:widowControl w:val="0"/>
        <w:tabs>
          <w:tab w:val="left" w:pos="624"/>
          <w:tab w:val="left" w:pos="669"/>
        </w:tabs>
        <w:kinsoku/>
        <w:wordWrap/>
        <w:topLinePunct w:val="0"/>
        <w:bidi w:val="0"/>
        <w:snapToGrid w:val="0"/>
        <w:spacing w:line="580" w:lineRule="exact"/>
        <w:ind w:firstLine="640" w:firstLineChars="200"/>
        <w:jc w:val="both"/>
        <w:outlineLvl w:val="1"/>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p>
    <w:p w14:paraId="1F2E637D">
      <w:pPr>
        <w:keepNext w:val="0"/>
        <w:keepLines w:val="0"/>
        <w:pageBreakBefore w:val="0"/>
        <w:widowControl w:val="0"/>
        <w:tabs>
          <w:tab w:val="left" w:pos="624"/>
          <w:tab w:val="left" w:pos="669"/>
        </w:tabs>
        <w:kinsoku/>
        <w:wordWrap/>
        <w:topLinePunct w:val="0"/>
        <w:bidi w:val="0"/>
        <w:snapToGrid w:val="0"/>
        <w:spacing w:line="580" w:lineRule="exact"/>
        <w:ind w:firstLine="640" w:firstLineChars="200"/>
        <w:jc w:val="both"/>
        <w:outlineLvl w:val="1"/>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附件：</w:t>
      </w:r>
      <w:bookmarkEnd w:id="44"/>
      <w:bookmarkEnd w:id="45"/>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1.2024年市级森林生态补偿资金分配表</w:t>
      </w:r>
    </w:p>
    <w:p w14:paraId="79F6E5B1">
      <w:pPr>
        <w:keepNext w:val="0"/>
        <w:keepLines w:val="0"/>
        <w:pageBreakBefore w:val="0"/>
        <w:widowControl w:val="0"/>
        <w:tabs>
          <w:tab w:val="left" w:pos="624"/>
          <w:tab w:val="left" w:pos="669"/>
        </w:tabs>
        <w:kinsoku/>
        <w:wordWrap/>
        <w:overflowPunct/>
        <w:topLinePunct w:val="0"/>
        <w:autoSpaceDE/>
        <w:autoSpaceDN/>
        <w:bidi w:val="0"/>
        <w:adjustRightInd/>
        <w:snapToGrid w:val="0"/>
        <w:spacing w:line="580" w:lineRule="exact"/>
        <w:ind w:left="0" w:leftChars="0" w:firstLine="1600" w:firstLineChars="500"/>
        <w:jc w:val="both"/>
        <w:textAlignment w:val="auto"/>
        <w:outlineLvl w:val="1"/>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2.2024年生态公益林补偿专项资金绩效自评价评分表</w:t>
      </w:r>
    </w:p>
    <w:p w14:paraId="79A66D17">
      <w:pPr>
        <w:pStyle w:val="3"/>
        <w:keepNext w:val="0"/>
        <w:keepLines w:val="0"/>
        <w:pageBreakBefore w:val="0"/>
        <w:kinsoku/>
        <w:wordWrap/>
        <w:topLinePunct w:val="0"/>
        <w:bidi w:val="0"/>
        <w:spacing w:line="580" w:lineRule="exact"/>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sectPr>
          <w:footerReference r:id="rId3" w:type="default"/>
          <w:pgSz w:w="11906" w:h="16838"/>
          <w:pgMar w:top="1531" w:right="1531" w:bottom="1531" w:left="1531" w:header="851" w:footer="992" w:gutter="0"/>
          <w:pgNumType w:fmt="decimal" w:start="1"/>
          <w:cols w:space="0" w:num="1"/>
          <w:rtlGutter w:val="0"/>
          <w:docGrid w:type="lines" w:linePitch="312" w:charSpace="0"/>
        </w:sectPr>
      </w:pPr>
    </w:p>
    <w:p w14:paraId="0D5C4EF2">
      <w:pPr>
        <w:pStyle w:val="10"/>
        <w:ind w:left="0" w:leftChars="0" w:firstLine="0" w:firstLineChars="0"/>
        <w:jc w:val="left"/>
        <w:outlineLvl w:val="0"/>
        <w:rPr>
          <w:rFonts w:hint="default" w:ascii="仿宋" w:hAnsi="仿宋" w:eastAsia="仿宋" w:cs="仿宋"/>
          <w:color w:val="000000" w:themeColor="text1"/>
          <w:sz w:val="28"/>
          <w:szCs w:val="28"/>
          <w:highlight w:val="none"/>
          <w:lang w:val="en-US" w:eastAsia="zh-CN"/>
          <w14:textFill>
            <w14:solidFill>
              <w14:schemeClr w14:val="tx1"/>
            </w14:solidFill>
          </w14:textFill>
        </w:rPr>
      </w:pPr>
      <w:bookmarkStart w:id="46" w:name="_Toc10428"/>
      <w:r>
        <w:rPr>
          <w:rFonts w:hint="eastAsia" w:ascii="仿宋" w:hAnsi="仿宋" w:eastAsia="仿宋" w:cs="仿宋"/>
          <w:color w:val="000000" w:themeColor="text1"/>
          <w:sz w:val="28"/>
          <w:szCs w:val="28"/>
          <w:highlight w:val="none"/>
          <w:lang w:val="en-US" w:eastAsia="zh-CN"/>
          <w14:textFill>
            <w14:solidFill>
              <w14:schemeClr w14:val="tx1"/>
            </w14:solidFill>
          </w14:textFill>
        </w:rPr>
        <w:t>附件1</w:t>
      </w:r>
    </w:p>
    <w:tbl>
      <w:tblPr>
        <w:tblStyle w:val="8"/>
        <w:tblW w:w="139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37"/>
        <w:gridCol w:w="1200"/>
        <w:gridCol w:w="887"/>
        <w:gridCol w:w="813"/>
        <w:gridCol w:w="850"/>
        <w:gridCol w:w="875"/>
        <w:gridCol w:w="1262"/>
        <w:gridCol w:w="1175"/>
        <w:gridCol w:w="1238"/>
        <w:gridCol w:w="1300"/>
        <w:gridCol w:w="987"/>
        <w:gridCol w:w="1632"/>
      </w:tblGrid>
      <w:tr w14:paraId="17621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956" w:type="dxa"/>
            <w:gridSpan w:val="12"/>
            <w:tcBorders>
              <w:top w:val="nil"/>
              <w:left w:val="nil"/>
              <w:bottom w:val="nil"/>
              <w:right w:val="nil"/>
            </w:tcBorders>
            <w:shd w:val="clear" w:color="auto" w:fill="auto"/>
            <w:noWrap/>
            <w:vAlign w:val="center"/>
          </w:tcPr>
          <w:p w14:paraId="2D6B3461">
            <w:pPr>
              <w:keepNext w:val="0"/>
              <w:keepLines w:val="0"/>
              <w:widowControl/>
              <w:suppressLineNumbers w:val="0"/>
              <w:jc w:val="center"/>
              <w:textAlignment w:val="center"/>
              <w:rPr>
                <w:rFonts w:hint="eastAsia" w:ascii="黑体" w:hAnsi="黑体" w:eastAsia="黑体" w:cs="黑体"/>
                <w:b/>
                <w:bCs/>
                <w:i w:val="0"/>
                <w:iCs w:val="0"/>
                <w:color w:val="000000"/>
                <w:sz w:val="36"/>
                <w:szCs w:val="36"/>
                <w:highlight w:val="none"/>
                <w:u w:val="none"/>
              </w:rPr>
            </w:pPr>
            <w:r>
              <w:rPr>
                <w:rFonts w:hint="eastAsia" w:ascii="黑体" w:hAnsi="黑体" w:eastAsia="黑体" w:cs="黑体"/>
                <w:b/>
                <w:bCs/>
                <w:i w:val="0"/>
                <w:iCs w:val="0"/>
                <w:color w:val="000000"/>
                <w:kern w:val="0"/>
                <w:sz w:val="36"/>
                <w:szCs w:val="36"/>
                <w:highlight w:val="none"/>
                <w:u w:val="none"/>
                <w:lang w:val="en-US" w:eastAsia="zh-CN" w:bidi="ar"/>
              </w:rPr>
              <w:t>2024年市级森林生态补偿资金分配表</w:t>
            </w:r>
          </w:p>
        </w:tc>
      </w:tr>
      <w:tr w14:paraId="5F1DA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37" w:type="dxa"/>
            <w:tcBorders>
              <w:top w:val="nil"/>
              <w:left w:val="nil"/>
              <w:bottom w:val="nil"/>
              <w:right w:val="nil"/>
            </w:tcBorders>
            <w:shd w:val="clear" w:color="auto" w:fill="auto"/>
            <w:noWrap/>
            <w:vAlign w:val="center"/>
          </w:tcPr>
          <w:p w14:paraId="2E7D9A53">
            <w:pPr>
              <w:rPr>
                <w:rFonts w:hint="eastAsia" w:ascii="宋体" w:hAnsi="宋体" w:eastAsia="宋体" w:cs="宋体"/>
                <w:i w:val="0"/>
                <w:iCs w:val="0"/>
                <w:color w:val="000000"/>
                <w:sz w:val="24"/>
                <w:szCs w:val="24"/>
                <w:highlight w:val="none"/>
                <w:u w:val="none"/>
              </w:rPr>
            </w:pPr>
          </w:p>
        </w:tc>
        <w:tc>
          <w:tcPr>
            <w:tcW w:w="1200" w:type="dxa"/>
            <w:tcBorders>
              <w:top w:val="nil"/>
              <w:left w:val="nil"/>
              <w:bottom w:val="nil"/>
              <w:right w:val="nil"/>
            </w:tcBorders>
            <w:shd w:val="clear" w:color="auto" w:fill="auto"/>
            <w:noWrap/>
            <w:vAlign w:val="center"/>
          </w:tcPr>
          <w:p w14:paraId="521387F7">
            <w:pPr>
              <w:rPr>
                <w:rFonts w:hint="eastAsia" w:ascii="宋体" w:hAnsi="宋体" w:eastAsia="宋体" w:cs="宋体"/>
                <w:i w:val="0"/>
                <w:iCs w:val="0"/>
                <w:color w:val="000000"/>
                <w:sz w:val="24"/>
                <w:szCs w:val="24"/>
                <w:highlight w:val="none"/>
                <w:u w:val="none"/>
              </w:rPr>
            </w:pPr>
          </w:p>
        </w:tc>
        <w:tc>
          <w:tcPr>
            <w:tcW w:w="887" w:type="dxa"/>
            <w:tcBorders>
              <w:top w:val="nil"/>
              <w:left w:val="nil"/>
              <w:bottom w:val="nil"/>
              <w:right w:val="nil"/>
            </w:tcBorders>
            <w:shd w:val="clear" w:color="auto" w:fill="auto"/>
            <w:noWrap/>
            <w:vAlign w:val="center"/>
          </w:tcPr>
          <w:p w14:paraId="6309445B">
            <w:pPr>
              <w:rPr>
                <w:rFonts w:hint="eastAsia" w:ascii="仿宋" w:hAnsi="仿宋" w:eastAsia="仿宋" w:cs="仿宋"/>
                <w:i w:val="0"/>
                <w:iCs w:val="0"/>
                <w:color w:val="000000"/>
                <w:sz w:val="22"/>
                <w:szCs w:val="22"/>
                <w:highlight w:val="none"/>
                <w:u w:val="none"/>
              </w:rPr>
            </w:pPr>
          </w:p>
        </w:tc>
        <w:tc>
          <w:tcPr>
            <w:tcW w:w="813" w:type="dxa"/>
            <w:tcBorders>
              <w:top w:val="nil"/>
              <w:left w:val="nil"/>
              <w:bottom w:val="nil"/>
              <w:right w:val="nil"/>
            </w:tcBorders>
            <w:shd w:val="clear" w:color="auto" w:fill="auto"/>
            <w:noWrap/>
            <w:vAlign w:val="center"/>
          </w:tcPr>
          <w:p w14:paraId="7310EFA5">
            <w:pPr>
              <w:rPr>
                <w:rFonts w:hint="eastAsia" w:ascii="仿宋" w:hAnsi="仿宋" w:eastAsia="仿宋" w:cs="仿宋"/>
                <w:i w:val="0"/>
                <w:iCs w:val="0"/>
                <w:color w:val="000000"/>
                <w:sz w:val="22"/>
                <w:szCs w:val="22"/>
                <w:highlight w:val="none"/>
                <w:u w:val="none"/>
              </w:rPr>
            </w:pPr>
          </w:p>
        </w:tc>
        <w:tc>
          <w:tcPr>
            <w:tcW w:w="850" w:type="dxa"/>
            <w:tcBorders>
              <w:top w:val="nil"/>
              <w:left w:val="nil"/>
              <w:bottom w:val="nil"/>
              <w:right w:val="nil"/>
            </w:tcBorders>
            <w:shd w:val="clear" w:color="auto" w:fill="auto"/>
            <w:noWrap/>
            <w:vAlign w:val="center"/>
          </w:tcPr>
          <w:p w14:paraId="09B58628">
            <w:pPr>
              <w:rPr>
                <w:rFonts w:hint="eastAsia" w:ascii="仿宋" w:hAnsi="仿宋" w:eastAsia="仿宋" w:cs="仿宋"/>
                <w:i w:val="0"/>
                <w:iCs w:val="0"/>
                <w:color w:val="000000"/>
                <w:sz w:val="22"/>
                <w:szCs w:val="22"/>
                <w:highlight w:val="none"/>
                <w:u w:val="none"/>
              </w:rPr>
            </w:pPr>
          </w:p>
        </w:tc>
        <w:tc>
          <w:tcPr>
            <w:tcW w:w="875" w:type="dxa"/>
            <w:tcBorders>
              <w:top w:val="nil"/>
              <w:left w:val="nil"/>
              <w:bottom w:val="nil"/>
              <w:right w:val="nil"/>
            </w:tcBorders>
            <w:shd w:val="clear" w:color="auto" w:fill="auto"/>
            <w:noWrap/>
            <w:vAlign w:val="center"/>
          </w:tcPr>
          <w:p w14:paraId="0C9D38D4">
            <w:pPr>
              <w:rPr>
                <w:rFonts w:hint="eastAsia" w:ascii="仿宋" w:hAnsi="仿宋" w:eastAsia="仿宋" w:cs="仿宋"/>
                <w:i w:val="0"/>
                <w:iCs w:val="0"/>
                <w:color w:val="000000"/>
                <w:sz w:val="22"/>
                <w:szCs w:val="22"/>
                <w:highlight w:val="none"/>
                <w:u w:val="none"/>
              </w:rPr>
            </w:pPr>
          </w:p>
        </w:tc>
        <w:tc>
          <w:tcPr>
            <w:tcW w:w="1262" w:type="dxa"/>
            <w:tcBorders>
              <w:top w:val="nil"/>
              <w:left w:val="nil"/>
              <w:bottom w:val="nil"/>
              <w:right w:val="nil"/>
            </w:tcBorders>
            <w:shd w:val="clear" w:color="auto" w:fill="auto"/>
            <w:noWrap/>
            <w:vAlign w:val="center"/>
          </w:tcPr>
          <w:p w14:paraId="66647C35">
            <w:pPr>
              <w:rPr>
                <w:rFonts w:hint="eastAsia" w:ascii="仿宋" w:hAnsi="仿宋" w:eastAsia="仿宋" w:cs="仿宋"/>
                <w:i w:val="0"/>
                <w:iCs w:val="0"/>
                <w:color w:val="000000"/>
                <w:sz w:val="22"/>
                <w:szCs w:val="22"/>
                <w:highlight w:val="none"/>
                <w:u w:val="none"/>
              </w:rPr>
            </w:pPr>
          </w:p>
        </w:tc>
        <w:tc>
          <w:tcPr>
            <w:tcW w:w="6332" w:type="dxa"/>
            <w:gridSpan w:val="5"/>
            <w:tcBorders>
              <w:top w:val="nil"/>
              <w:left w:val="nil"/>
              <w:bottom w:val="nil"/>
              <w:right w:val="nil"/>
            </w:tcBorders>
            <w:shd w:val="clear" w:color="auto" w:fill="auto"/>
            <w:noWrap/>
            <w:vAlign w:val="center"/>
          </w:tcPr>
          <w:p w14:paraId="38909C86">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金额单位：元</w:t>
            </w:r>
          </w:p>
        </w:tc>
      </w:tr>
      <w:tr w14:paraId="089E1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7F5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E9E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金额合计</w:t>
            </w:r>
          </w:p>
        </w:tc>
        <w:tc>
          <w:tcPr>
            <w:tcW w:w="468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2E4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国家级公益林</w:t>
            </w:r>
          </w:p>
        </w:tc>
        <w:tc>
          <w:tcPr>
            <w:tcW w:w="3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A764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省级公益林</w:t>
            </w:r>
          </w:p>
        </w:tc>
        <w:tc>
          <w:tcPr>
            <w:tcW w:w="2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1C58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市级公益林</w:t>
            </w:r>
          </w:p>
        </w:tc>
      </w:tr>
      <w:tr w14:paraId="1233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D44E">
            <w:pPr>
              <w:jc w:val="center"/>
              <w:rPr>
                <w:rFonts w:hint="eastAsia" w:ascii="宋体" w:hAnsi="宋体" w:eastAsia="宋体" w:cs="宋体"/>
                <w:b/>
                <w:bCs/>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B090">
            <w:pPr>
              <w:jc w:val="center"/>
              <w:rPr>
                <w:rFonts w:hint="eastAsia" w:ascii="宋体" w:hAnsi="宋体" w:eastAsia="宋体" w:cs="宋体"/>
                <w:b/>
                <w:bCs/>
                <w:i w:val="0"/>
                <w:iCs w:val="0"/>
                <w:color w:val="000000"/>
                <w:sz w:val="20"/>
                <w:szCs w:val="20"/>
                <w:highlight w:val="none"/>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577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国有</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53A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非国有</w:t>
            </w:r>
          </w:p>
        </w:tc>
        <w:tc>
          <w:tcPr>
            <w:tcW w:w="29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6BB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资金分配</w:t>
            </w: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D67E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面积</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C685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资金分配</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0220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面积</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BA4E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市级资金</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分配</w:t>
            </w:r>
          </w:p>
        </w:tc>
      </w:tr>
      <w:tr w14:paraId="18ECA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6C6F">
            <w:pPr>
              <w:jc w:val="center"/>
              <w:rPr>
                <w:rFonts w:hint="eastAsia" w:ascii="宋体" w:hAnsi="宋体" w:eastAsia="宋体" w:cs="宋体"/>
                <w:b/>
                <w:bCs/>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36A1">
            <w:pPr>
              <w:jc w:val="center"/>
              <w:rPr>
                <w:rFonts w:hint="eastAsia" w:ascii="宋体" w:hAnsi="宋体" w:eastAsia="宋体" w:cs="宋体"/>
                <w:b/>
                <w:bCs/>
                <w:i w:val="0"/>
                <w:iCs w:val="0"/>
                <w:color w:val="000000"/>
                <w:sz w:val="20"/>
                <w:szCs w:val="20"/>
                <w:highlight w:val="none"/>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A38A">
            <w:pPr>
              <w:jc w:val="center"/>
              <w:rPr>
                <w:rFonts w:hint="eastAsia" w:ascii="宋体" w:hAnsi="宋体" w:eastAsia="宋体" w:cs="宋体"/>
                <w:b/>
                <w:bCs/>
                <w:i w:val="0"/>
                <w:iCs w:val="0"/>
                <w:color w:val="000000"/>
                <w:sz w:val="20"/>
                <w:szCs w:val="20"/>
                <w:highlight w:val="none"/>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D6E5">
            <w:pPr>
              <w:jc w:val="center"/>
              <w:rPr>
                <w:rFonts w:hint="eastAsia" w:ascii="宋体" w:hAnsi="宋体" w:eastAsia="宋体" w:cs="宋体"/>
                <w:b/>
                <w:bCs/>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B64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中央资金</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分配</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6AB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省级资金</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分配</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954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市级资金</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分配</w:t>
            </w: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8A7FF">
            <w:pPr>
              <w:jc w:val="center"/>
              <w:rPr>
                <w:rFonts w:hint="eastAsia" w:ascii="宋体" w:hAnsi="宋体" w:eastAsia="宋体" w:cs="宋体"/>
                <w:b/>
                <w:bCs/>
                <w:i w:val="0"/>
                <w:iCs w:val="0"/>
                <w:color w:val="000000"/>
                <w:sz w:val="20"/>
                <w:szCs w:val="20"/>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6BC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省级资金</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分配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760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市级资金</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分配</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F51A7">
            <w:pPr>
              <w:jc w:val="center"/>
              <w:rPr>
                <w:rFonts w:hint="eastAsia" w:ascii="宋体" w:hAnsi="宋体" w:eastAsia="宋体" w:cs="宋体"/>
                <w:b/>
                <w:bCs/>
                <w:i w:val="0"/>
                <w:iCs w:val="0"/>
                <w:color w:val="000000"/>
                <w:sz w:val="20"/>
                <w:szCs w:val="20"/>
                <w:highlight w:val="none"/>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B6FA2">
            <w:pPr>
              <w:jc w:val="center"/>
              <w:rPr>
                <w:rFonts w:hint="eastAsia" w:ascii="宋体" w:hAnsi="宋体" w:eastAsia="宋体" w:cs="宋体"/>
                <w:b/>
                <w:bCs/>
                <w:i w:val="0"/>
                <w:iCs w:val="0"/>
                <w:color w:val="000000"/>
                <w:sz w:val="20"/>
                <w:szCs w:val="20"/>
                <w:highlight w:val="none"/>
                <w:u w:val="none"/>
              </w:rPr>
            </w:pPr>
          </w:p>
        </w:tc>
      </w:tr>
      <w:tr w14:paraId="602B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DC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8DE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3380.275</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E83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28435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050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36.7</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A5B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67.92</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957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158.34</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EE4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580302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867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2031.08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3D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1900.82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95A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264223</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7E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1321.1150 </w:t>
            </w:r>
          </w:p>
        </w:tc>
      </w:tr>
      <w:tr w14:paraId="26DC3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9F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中山陵园管理局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9AB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168.15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5F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23154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4056">
            <w:pPr>
              <w:jc w:val="center"/>
              <w:rPr>
                <w:rFonts w:hint="default" w:ascii="Times New Roman" w:hAnsi="Times New Roman" w:eastAsia="宋体" w:cs="Times New Roman"/>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A1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36.7</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9D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57.89</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E45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136.95</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C1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4801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83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16.81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ECC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31.2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CC2F">
            <w:pPr>
              <w:jc w:val="center"/>
              <w:rPr>
                <w:rFonts w:hint="default" w:ascii="Times New Roman" w:hAnsi="Times New Roman" w:eastAsia="宋体" w:cs="Times New Roman"/>
                <w:i w:val="0"/>
                <w:iCs w:val="0"/>
                <w:color w:val="000000"/>
                <w:sz w:val="20"/>
                <w:szCs w:val="20"/>
                <w:highlight w:val="none"/>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DAC6">
            <w:pPr>
              <w:jc w:val="center"/>
              <w:rPr>
                <w:rFonts w:hint="default" w:ascii="Times New Roman" w:hAnsi="Times New Roman" w:eastAsia="宋体" w:cs="Times New Roman"/>
                <w:b/>
                <w:bCs/>
                <w:i w:val="0"/>
                <w:iCs w:val="0"/>
                <w:color w:val="000000"/>
                <w:sz w:val="20"/>
                <w:szCs w:val="20"/>
                <w:highlight w:val="none"/>
                <w:u w:val="none"/>
              </w:rPr>
            </w:pPr>
          </w:p>
        </w:tc>
      </w:tr>
      <w:tr w14:paraId="4CCD3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E5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雨花台区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597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39.455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5954">
            <w:pPr>
              <w:rPr>
                <w:rFonts w:hint="eastAsia" w:ascii="宋体" w:hAnsi="宋体" w:eastAsia="宋体" w:cs="宋体"/>
                <w:i w:val="0"/>
                <w:iCs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82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6F60">
            <w:pPr>
              <w:jc w:val="center"/>
              <w:rPr>
                <w:rFonts w:hint="default" w:ascii="Times New Roman" w:hAnsi="Times New Roman" w:eastAsia="宋体" w:cs="Times New Roman"/>
                <w:i w:val="0"/>
                <w:iCs w:val="0"/>
                <w:color w:val="000000"/>
                <w:sz w:val="20"/>
                <w:szCs w:val="20"/>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02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0.27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9D1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0.58</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D7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7268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A7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25.44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80C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23.62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94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3051</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11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15.2550 </w:t>
            </w:r>
          </w:p>
        </w:tc>
      </w:tr>
      <w:tr w14:paraId="640C3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81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栖霞区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FED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218.895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0AAE">
            <w:pPr>
              <w:rPr>
                <w:rFonts w:hint="eastAsia" w:ascii="宋体" w:hAnsi="宋体" w:eastAsia="宋体" w:cs="宋体"/>
                <w:i w:val="0"/>
                <w:iCs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6A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4979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81DA">
            <w:pPr>
              <w:jc w:val="center"/>
              <w:rPr>
                <w:rFonts w:hint="default" w:ascii="Times New Roman" w:hAnsi="Times New Roman" w:eastAsia="宋体" w:cs="Times New Roman"/>
                <w:i w:val="0"/>
                <w:iCs w:val="0"/>
                <w:color w:val="000000"/>
                <w:sz w:val="20"/>
                <w:szCs w:val="20"/>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7D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9.46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816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20.165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67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18754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37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65.64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CE4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60.95</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9CD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27556</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74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137.7800 </w:t>
            </w:r>
          </w:p>
        </w:tc>
      </w:tr>
      <w:tr w14:paraId="70D5A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E8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江宁区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234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1134.675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FAA4">
            <w:pPr>
              <w:rPr>
                <w:rFonts w:hint="eastAsia" w:ascii="宋体" w:hAnsi="宋体" w:eastAsia="宋体" w:cs="宋体"/>
                <w:i w:val="0"/>
                <w:iCs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28F9">
            <w:pPr>
              <w:jc w:val="center"/>
              <w:rPr>
                <w:rFonts w:hint="default" w:ascii="Times New Roman" w:hAnsi="Times New Roman" w:eastAsia="宋体" w:cs="Times New Roman"/>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8741">
            <w:pPr>
              <w:jc w:val="center"/>
              <w:rPr>
                <w:rFonts w:hint="default" w:ascii="Times New Roman" w:hAnsi="Times New Roman" w:eastAsia="宋体" w:cs="Times New Roman"/>
                <w:i w:val="0"/>
                <w:iCs w:val="0"/>
                <w:color w:val="000000"/>
                <w:sz w:val="20"/>
                <w:szCs w:val="20"/>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6C8E">
            <w:pPr>
              <w:jc w:val="center"/>
              <w:rPr>
                <w:rFonts w:hint="default" w:ascii="Times New Roman" w:hAnsi="Times New Roman" w:eastAsia="宋体" w:cs="Times New Roman"/>
                <w:i w:val="0"/>
                <w:iCs w:val="0"/>
                <w:color w:val="000000"/>
                <w:sz w:val="20"/>
                <w:szCs w:val="20"/>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B8B5">
            <w:pPr>
              <w:jc w:val="center"/>
              <w:rPr>
                <w:rFonts w:hint="default" w:ascii="Times New Roman" w:hAnsi="Times New Roman" w:eastAsia="宋体" w:cs="Times New Roman"/>
                <w:b/>
                <w:bCs/>
                <w:i w:val="0"/>
                <w:iCs w:val="0"/>
                <w:color w:val="000000"/>
                <w:sz w:val="20"/>
                <w:szCs w:val="20"/>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4A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175201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33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09F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569.405</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F9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113054</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828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565.2700 </w:t>
            </w:r>
          </w:p>
        </w:tc>
      </w:tr>
      <w:tr w14:paraId="55FEF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DC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浦口区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CE3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485.21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DA46">
            <w:pPr>
              <w:rPr>
                <w:rFonts w:hint="eastAsia" w:ascii="宋体" w:hAnsi="宋体" w:eastAsia="宋体" w:cs="宋体"/>
                <w:i w:val="0"/>
                <w:iCs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C0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2C3F">
            <w:pPr>
              <w:jc w:val="center"/>
              <w:rPr>
                <w:rFonts w:hint="default" w:ascii="Times New Roman" w:hAnsi="Times New Roman" w:eastAsia="宋体" w:cs="Times New Roman"/>
                <w:i w:val="0"/>
                <w:iCs w:val="0"/>
                <w:color w:val="000000"/>
                <w:sz w:val="20"/>
                <w:szCs w:val="20"/>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0F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B4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0.645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D0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127833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F31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447.42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56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415.455</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3A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13822</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0C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69.1100 </w:t>
            </w:r>
          </w:p>
        </w:tc>
      </w:tr>
      <w:tr w14:paraId="21935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0D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38E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386.38</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6A8D">
            <w:pPr>
              <w:jc w:val="center"/>
              <w:rPr>
                <w:rFonts w:hint="default" w:ascii="Times New Roman" w:hAnsi="Times New Roman" w:eastAsia="宋体" w:cs="Times New Roman"/>
                <w:i w:val="0"/>
                <w:iCs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0B48">
            <w:pPr>
              <w:jc w:val="center"/>
              <w:rPr>
                <w:rFonts w:hint="default" w:ascii="Times New Roman" w:hAnsi="Times New Roman" w:eastAsia="宋体" w:cs="Times New Roman"/>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F323">
            <w:pPr>
              <w:jc w:val="center"/>
              <w:rPr>
                <w:rFonts w:hint="default" w:ascii="Times New Roman" w:hAnsi="Times New Roman" w:eastAsia="宋体" w:cs="Times New Roman"/>
                <w:i w:val="0"/>
                <w:iCs w:val="0"/>
                <w:color w:val="000000"/>
                <w:sz w:val="20"/>
                <w:szCs w:val="20"/>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1A97">
            <w:pPr>
              <w:jc w:val="center"/>
              <w:rPr>
                <w:rFonts w:hint="default" w:ascii="Times New Roman" w:hAnsi="Times New Roman" w:eastAsia="宋体" w:cs="Times New Roman"/>
                <w:i w:val="0"/>
                <w:iCs w:val="0"/>
                <w:color w:val="000000"/>
                <w:sz w:val="20"/>
                <w:szCs w:val="20"/>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CD6B">
            <w:pPr>
              <w:jc w:val="center"/>
              <w:rPr>
                <w:rFonts w:hint="default" w:ascii="Times New Roman" w:hAnsi="Times New Roman" w:eastAsia="宋体" w:cs="Times New Roman"/>
                <w:b/>
                <w:bCs/>
                <w:i w:val="0"/>
                <w:iCs w:val="0"/>
                <w:color w:val="000000"/>
                <w:sz w:val="20"/>
                <w:szCs w:val="20"/>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A4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90060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B1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315.21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E0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292.695</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A98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18737</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AE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93.6850 </w:t>
            </w:r>
          </w:p>
        </w:tc>
      </w:tr>
      <w:tr w14:paraId="0D48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B9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溧水区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1E4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592.35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448E">
            <w:pPr>
              <w:jc w:val="center"/>
              <w:rPr>
                <w:rFonts w:hint="default" w:ascii="Times New Roman" w:hAnsi="Times New Roman" w:eastAsia="宋体" w:cs="Times New Roman"/>
                <w:i w:val="0"/>
                <w:iCs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7CD3">
            <w:pPr>
              <w:jc w:val="center"/>
              <w:rPr>
                <w:rFonts w:hint="default" w:ascii="Times New Roman" w:hAnsi="Times New Roman" w:eastAsia="宋体" w:cs="Times New Roman"/>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50FC">
            <w:pPr>
              <w:jc w:val="center"/>
              <w:rPr>
                <w:rFonts w:hint="default" w:ascii="Times New Roman" w:hAnsi="Times New Roman" w:eastAsia="宋体" w:cs="Times New Roman"/>
                <w:i w:val="0"/>
                <w:iCs w:val="0"/>
                <w:color w:val="000000"/>
                <w:sz w:val="20"/>
                <w:szCs w:val="20"/>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B296">
            <w:pPr>
              <w:jc w:val="center"/>
              <w:rPr>
                <w:rFonts w:hint="default" w:ascii="Times New Roman" w:hAnsi="Times New Roman" w:eastAsia="宋体" w:cs="Times New Roman"/>
                <w:i w:val="0"/>
                <w:iCs w:val="0"/>
                <w:color w:val="000000"/>
                <w:sz w:val="20"/>
                <w:szCs w:val="20"/>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13AB">
            <w:pPr>
              <w:jc w:val="center"/>
              <w:rPr>
                <w:rFonts w:hint="default" w:ascii="Times New Roman" w:hAnsi="Times New Roman" w:eastAsia="宋体" w:cs="Times New Roman"/>
                <w:b/>
                <w:bCs/>
                <w:i w:val="0"/>
                <w:iCs w:val="0"/>
                <w:color w:val="000000"/>
                <w:sz w:val="20"/>
                <w:szCs w:val="20"/>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D8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112845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92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394.96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430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366.745</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6C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45121</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080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225.6050 </w:t>
            </w:r>
          </w:p>
        </w:tc>
      </w:tr>
      <w:tr w14:paraId="338C1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76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高淳区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ABE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269.84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4859">
            <w:pPr>
              <w:jc w:val="center"/>
              <w:rPr>
                <w:rFonts w:hint="default" w:ascii="Times New Roman" w:hAnsi="Times New Roman" w:eastAsia="宋体" w:cs="Times New Roman"/>
                <w:i w:val="0"/>
                <w:iCs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E397">
            <w:pPr>
              <w:jc w:val="center"/>
              <w:rPr>
                <w:rFonts w:hint="default" w:ascii="Times New Roman" w:hAnsi="Times New Roman" w:eastAsia="宋体" w:cs="Times New Roman"/>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7D0D">
            <w:pPr>
              <w:jc w:val="center"/>
              <w:rPr>
                <w:rFonts w:hint="default" w:ascii="Times New Roman" w:hAnsi="Times New Roman" w:eastAsia="宋体" w:cs="Times New Roman"/>
                <w:i w:val="0"/>
                <w:iCs w:val="0"/>
                <w:color w:val="000000"/>
                <w:sz w:val="20"/>
                <w:szCs w:val="20"/>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56C4">
            <w:pPr>
              <w:jc w:val="center"/>
              <w:rPr>
                <w:rFonts w:hint="default" w:ascii="Times New Roman" w:hAnsi="Times New Roman" w:eastAsia="宋体" w:cs="Times New Roman"/>
                <w:i w:val="0"/>
                <w:iCs w:val="0"/>
                <w:color w:val="000000"/>
                <w:sz w:val="20"/>
                <w:szCs w:val="20"/>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AC52">
            <w:pPr>
              <w:jc w:val="center"/>
              <w:rPr>
                <w:rFonts w:hint="default" w:ascii="Times New Roman" w:hAnsi="Times New Roman" w:eastAsia="宋体" w:cs="Times New Roman"/>
                <w:b/>
                <w:bCs/>
                <w:i w:val="0"/>
                <w:iCs w:val="0"/>
                <w:color w:val="000000"/>
                <w:sz w:val="20"/>
                <w:szCs w:val="20"/>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19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36314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71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127.1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54E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118.02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A0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30364</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A6D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151.8200 </w:t>
            </w:r>
          </w:p>
        </w:tc>
      </w:tr>
      <w:tr w14:paraId="4268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0B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江北新区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F2C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85.32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B542">
            <w:pPr>
              <w:jc w:val="center"/>
              <w:rPr>
                <w:rFonts w:hint="default" w:ascii="Times New Roman" w:hAnsi="Times New Roman" w:eastAsia="宋体" w:cs="Times New Roman"/>
                <w:i w:val="0"/>
                <w:iCs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6992">
            <w:pPr>
              <w:jc w:val="center"/>
              <w:rPr>
                <w:rFonts w:hint="default" w:ascii="Times New Roman" w:hAnsi="Times New Roman" w:eastAsia="宋体" w:cs="Times New Roman"/>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2BFB">
            <w:pPr>
              <w:jc w:val="center"/>
              <w:rPr>
                <w:rFonts w:hint="default" w:ascii="Times New Roman" w:hAnsi="Times New Roman" w:eastAsia="宋体" w:cs="Times New Roman"/>
                <w:i w:val="0"/>
                <w:iCs w:val="0"/>
                <w:color w:val="000000"/>
                <w:sz w:val="20"/>
                <w:szCs w:val="20"/>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DFD0">
            <w:pPr>
              <w:jc w:val="center"/>
              <w:rPr>
                <w:rFonts w:hint="default" w:ascii="Times New Roman" w:hAnsi="Times New Roman" w:eastAsia="宋体" w:cs="Times New Roman"/>
                <w:i w:val="0"/>
                <w:iCs w:val="0"/>
                <w:color w:val="000000"/>
                <w:sz w:val="20"/>
                <w:szCs w:val="20"/>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D416">
            <w:pPr>
              <w:jc w:val="center"/>
              <w:rPr>
                <w:rFonts w:hint="default" w:ascii="Times New Roman" w:hAnsi="Times New Roman" w:eastAsia="宋体" w:cs="Times New Roman"/>
                <w:b/>
                <w:bCs/>
                <w:i w:val="0"/>
                <w:iCs w:val="0"/>
                <w:color w:val="000000"/>
                <w:sz w:val="20"/>
                <w:szCs w:val="20"/>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86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6995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DA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24.49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E93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22.73</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67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12518</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CFC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62.5900 </w:t>
            </w:r>
          </w:p>
        </w:tc>
      </w:tr>
    </w:tbl>
    <w:p w14:paraId="12B6BB86">
      <w:pPr>
        <w:pStyle w:val="10"/>
        <w:ind w:left="0" w:leftChars="0" w:firstLine="0" w:firstLineChars="0"/>
        <w:jc w:val="left"/>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附件</w:t>
      </w:r>
      <w:bookmarkEnd w:id="46"/>
      <w:r>
        <w:rPr>
          <w:rFonts w:hint="eastAsia" w:ascii="仿宋" w:hAnsi="仿宋" w:eastAsia="仿宋" w:cs="仿宋"/>
          <w:color w:val="000000" w:themeColor="text1"/>
          <w:sz w:val="28"/>
          <w:szCs w:val="28"/>
          <w:highlight w:val="none"/>
          <w:lang w:val="en-US" w:eastAsia="zh-CN"/>
          <w14:textFill>
            <w14:solidFill>
              <w14:schemeClr w14:val="tx1"/>
            </w14:solidFill>
          </w14:textFill>
        </w:rPr>
        <w:t>2</w:t>
      </w:r>
    </w:p>
    <w:p w14:paraId="5D4AE1AB">
      <w:pPr>
        <w:keepNext w:val="0"/>
        <w:keepLines w:val="0"/>
        <w:pageBreakBefore w:val="0"/>
        <w:widowControl w:val="0"/>
        <w:tabs>
          <w:tab w:val="left" w:pos="624"/>
          <w:tab w:val="left" w:pos="669"/>
        </w:tabs>
        <w:kinsoku/>
        <w:wordWrap/>
        <w:topLinePunct w:val="0"/>
        <w:bidi w:val="0"/>
        <w:snapToGrid w:val="0"/>
        <w:spacing w:line="560" w:lineRule="exact"/>
        <w:ind w:left="0" w:leftChars="0" w:firstLine="0" w:firstLineChars="0"/>
        <w:jc w:val="center"/>
        <w:outlineLvl w:val="1"/>
        <w:rPr>
          <w:rFonts w:hint="eastAsia" w:ascii="黑体" w:hAnsi="黑体" w:eastAsia="黑体" w:cs="Calibri"/>
          <w:bCs/>
          <w:color w:val="000000" w:themeColor="text1"/>
          <w:sz w:val="32"/>
          <w:szCs w:val="32"/>
          <w:highlight w:val="none"/>
          <w14:textFill>
            <w14:solidFill>
              <w14:schemeClr w14:val="tx1"/>
            </w14:solidFill>
          </w14:textFill>
        </w:rPr>
      </w:pPr>
      <w:r>
        <w:rPr>
          <w:rFonts w:hint="eastAsia" w:ascii="黑体" w:hAnsi="黑体" w:eastAsia="黑体" w:cs="Calibri"/>
          <w:bCs/>
          <w:color w:val="000000" w:themeColor="text1"/>
          <w:sz w:val="32"/>
          <w:szCs w:val="32"/>
          <w:highlight w:val="none"/>
          <w14:textFill>
            <w14:solidFill>
              <w14:schemeClr w14:val="tx1"/>
            </w14:solidFill>
          </w14:textFill>
        </w:rPr>
        <w:t>20</w:t>
      </w:r>
      <w:r>
        <w:rPr>
          <w:rFonts w:hint="eastAsia" w:ascii="黑体" w:hAnsi="黑体" w:eastAsia="黑体" w:cs="Calibri"/>
          <w:bCs/>
          <w:color w:val="000000" w:themeColor="text1"/>
          <w:sz w:val="32"/>
          <w:szCs w:val="32"/>
          <w:highlight w:val="none"/>
          <w:lang w:val="en-US" w:eastAsia="zh-CN"/>
          <w14:textFill>
            <w14:solidFill>
              <w14:schemeClr w14:val="tx1"/>
            </w14:solidFill>
          </w14:textFill>
        </w:rPr>
        <w:t>24</w:t>
      </w:r>
      <w:r>
        <w:rPr>
          <w:rFonts w:hint="eastAsia" w:ascii="黑体" w:hAnsi="黑体" w:eastAsia="黑体" w:cs="Calibri"/>
          <w:bCs/>
          <w:color w:val="000000" w:themeColor="text1"/>
          <w:sz w:val="32"/>
          <w:szCs w:val="32"/>
          <w:highlight w:val="none"/>
          <w14:textFill>
            <w14:solidFill>
              <w14:schemeClr w14:val="tx1"/>
            </w14:solidFill>
          </w14:textFill>
        </w:rPr>
        <w:t>年</w:t>
      </w:r>
      <w:r>
        <w:rPr>
          <w:rFonts w:hint="eastAsia" w:ascii="黑体" w:hAnsi="黑体" w:eastAsia="黑体" w:cs="Calibri"/>
          <w:bCs/>
          <w:color w:val="000000" w:themeColor="text1"/>
          <w:sz w:val="32"/>
          <w:szCs w:val="32"/>
          <w:highlight w:val="none"/>
          <w:lang w:eastAsia="zh-CN"/>
          <w14:textFill>
            <w14:solidFill>
              <w14:schemeClr w14:val="tx1"/>
            </w14:solidFill>
          </w14:textFill>
        </w:rPr>
        <w:t>生态公益林补偿</w:t>
      </w:r>
      <w:r>
        <w:rPr>
          <w:rFonts w:hint="eastAsia" w:ascii="黑体" w:hAnsi="黑体" w:eastAsia="黑体" w:cs="Calibri"/>
          <w:bCs/>
          <w:color w:val="000000" w:themeColor="text1"/>
          <w:sz w:val="32"/>
          <w:szCs w:val="32"/>
          <w:highlight w:val="none"/>
          <w14:textFill>
            <w14:solidFill>
              <w14:schemeClr w14:val="tx1"/>
            </w14:solidFill>
          </w14:textFill>
        </w:rPr>
        <w:t>专项资金绩效自评价评分表</w:t>
      </w:r>
    </w:p>
    <w:tbl>
      <w:tblPr>
        <w:tblStyle w:val="8"/>
        <w:tblW w:w="1399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704"/>
        <w:gridCol w:w="961"/>
        <w:gridCol w:w="645"/>
        <w:gridCol w:w="1992"/>
        <w:gridCol w:w="600"/>
        <w:gridCol w:w="7802"/>
        <w:gridCol w:w="617"/>
      </w:tblGrid>
      <w:tr w14:paraId="01A9F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exac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E2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90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24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ED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A4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指标解释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91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分值</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F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评分依据</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9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得分</w:t>
            </w:r>
          </w:p>
        </w:tc>
      </w:tr>
      <w:tr w14:paraId="4218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8" w:hRule="exac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B4F9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决策</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9C7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项目立项</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4D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立项依据充分性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56C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充分</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85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项目立项是否符合法律法规、相关政策、发展规划以及部门职责，用以反映和考核项目立项依据情况。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6FA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08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①项目是否按照规定的程序申请设立；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②审批文件、材料是否符合相关要求；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③事前是否已经过必要的可行性研究、专家论证、风险评估、绩效评估、集体决策。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评分规则：以上评价要点各占1/3权重，每个要点执行情况分达成、部分达成、未达成三档，按100%-80%（含）、80%-60%（含）、60%-0%评分。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3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319BF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3" w:hRule="exac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8B63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0E7E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AF2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立项程序规范性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1C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A4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项目申请、设立过程是否符合相关要求，用以反映和考核项目立项的规范情况。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F8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EB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①项目立项是否符合国家法律法规、国民经济发展规划和相关政策；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②项目立项是否符合行业发展规划和政策要求；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③项目立项是否与部门职责范围相符，属于部门履职所需；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④项目是否属于公共财政支持范围，是否符合中央、地方事权支出责任划分原则；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⑤项目是否与相关部门同类项目或部门内部相关项目重复。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评分规则：以上评价要点各占20%权重，每个要点执行情况分达成、部分达成、未达成三档，按100%-80%（含）、80%-60%（含）、60%-0%评分。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F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1F39B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8" w:hRule="exac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68F6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C42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365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绩效目标合理性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FAB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31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项目所设立的绩效目标是否依据充分，是否符合客观实际，用以反映和考核项目绩效目标与项目实施的相符情况。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F83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B1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①项目是否有绩效目标；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②项目绩效目标与实际工作内容是否具有相关性；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③项目预期产出效益和效果是否符合正常的业绩水平；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④是否与预算确定的项目投资额或资金量相匹配。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评分规则：以上评价要点各占25%权重，每个要点执行情况分达成、部分达成、未达成三档，按100%-80%（含）、80%-60%（含）、60%-0%评分。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6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504C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3" w:hRule="exac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BEF3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CE3C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9E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绩效指标明确性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FD6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明确</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39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依据绩效目标设定的绩效指标是否清晰、细化、可衡量，用以反映和考核项目绩效指标的明确和细化情况。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B83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29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①是否将项目绩效目标细化分解为具体的绩效指标；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②是否通过清晰、可衡量的指标值予以体现；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③是否与项目目标任务数或计划数相对应。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评分规则：以上评价要点各占1/3权重，每个要点执行情况分达成、部分达成、未达成三档，按100%-80%（含）、80%-60%（含）、60%-0%评分。     </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68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587E4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3" w:hRule="exac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46BC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4AD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资金投入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C3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预算编制科学性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688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A4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项目预算编制是否经过科学论证、有明确标准，资金额度与年度目标是否相适应，用以反映和考核项目预算编制的科学性、合理性。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CC7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49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①预算编制是否经过科学论证；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②预算内容与项目内容是否匹配；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③预算额度测算依据是否充分，是否按照标准编制；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④预算确定的项目投资额或资金量是否与工作任务相匹配。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评分规则：以上评价要点各占25%权重，每个要点执行情况分达成、部分达成、未达成三档，按100%-80%（含）、80%-60%（含）、60%-0%评分。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7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5B7FD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8" w:hRule="exac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643A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0C9D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B19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资金分配合理性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2E6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D0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项目预算资金分配是否有测算依据，与补助单位或地方实际是否相适应，用以反映和考核项目预算资金分配的科学性、合理性。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45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CE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评价要点：</w:t>
            </w:r>
          </w:p>
          <w:p w14:paraId="7D713E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①预算资金分配依据是否充分；</w:t>
            </w:r>
          </w:p>
          <w:p w14:paraId="4E1C75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②资金分配额度是否合理，与项目单位或地方实际是否相适应。</w:t>
            </w:r>
          </w:p>
          <w:p w14:paraId="7ED8AE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评分规则：以上评价要点各占50%权重，每个要点执行情况分达成、部分达成、未达成三档，按100%-80%（含）、80%-60%（含）、60%-0%评分。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F1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7E69C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 w:hRule="exac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6453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DDE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资金管理</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E3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资金到位率</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9D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6D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实际到位资金与预算资金的比率，用以反映和考核资金落实情况对项目实施的总体保障程度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163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97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资金到位率=（实际到位资金/预算资金）×100%。</w:t>
            </w:r>
          </w:p>
          <w:p w14:paraId="65AA24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实际到位资金：一定时期（本年度或项目期）内落实到具体项目的资金。</w:t>
            </w:r>
          </w:p>
          <w:p w14:paraId="3C598B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预算资金：一定时期（本年度或项目期）内预算安排到具体项目的资金。</w:t>
            </w:r>
          </w:p>
          <w:p w14:paraId="5CF947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评分规则：得分=资金到位率×分值。</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01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3</w:t>
            </w:r>
          </w:p>
        </w:tc>
      </w:tr>
      <w:tr w14:paraId="32DD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exac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7570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E5F1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73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BB7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5C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项目预算资金是否按照计划执行，用以反映或考核项目预算执行情况。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B9A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3</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67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预算执行率=（实际支出资金/实际到位资金）×100%。</w:t>
            </w:r>
          </w:p>
          <w:p w14:paraId="27C981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实际支出资金：一定时期（本年度或项目期）内项目实际拨付的资金。</w:t>
            </w:r>
          </w:p>
          <w:p w14:paraId="5B624B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评分规则：得分=资金到位率×分值。</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6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2.67</w:t>
            </w:r>
          </w:p>
        </w:tc>
      </w:tr>
      <w:tr w14:paraId="27262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exac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564D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B3E2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CF0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资金使用合规性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DB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B9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项目资金使用是否符合相关财务管理制度规定，用以反映和考核项目资金的规范运行情况。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8D0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4</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7D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评价要点：</w:t>
            </w:r>
          </w:p>
          <w:p w14:paraId="2B8E9D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①是否符合国家财经法规和财务管理制度以及有关专项资金管理办法的规定；</w:t>
            </w:r>
          </w:p>
          <w:p w14:paraId="7C2838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②资金的拨付是否有完整的审批程序和手续；</w:t>
            </w:r>
          </w:p>
          <w:p w14:paraId="0DF5CB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③是否符合项目预算批复或合同规定的用途；</w:t>
            </w:r>
          </w:p>
          <w:p w14:paraId="575163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④是否存在截留、挤占、挪用、虚列支出等情况。</w:t>
            </w:r>
          </w:p>
          <w:p w14:paraId="27347A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评分规则：以上评价要点各占25%权重，每个要点执行情况分达成、部分达成、未达成三档，按100%-80%（含）、80%-60%（含）、60%-0%评分。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0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4</w:t>
            </w:r>
          </w:p>
        </w:tc>
      </w:tr>
      <w:tr w14:paraId="6819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exac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5AEC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BF27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组织实施</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404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管理制度健全性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407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8B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管理制度是否健全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D56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1F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评价要点：</w:t>
            </w:r>
          </w:p>
          <w:p w14:paraId="5F59A0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①是否已制定或具有相应的财务和业务管理等制度；</w:t>
            </w:r>
          </w:p>
          <w:p w14:paraId="15B4EB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②财务和业务管理等制度是否合法、合规、完整。</w:t>
            </w:r>
          </w:p>
          <w:p w14:paraId="481DBB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评分规则：以上评价要点各占50%权重，每个要点执行情况分达成、部分达成、未达成三档，按100%-80%（含）、80%-60%（含）、60%-0%评分。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B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003D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3" w:hRule="exac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C8FF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1815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62A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制度执行有效性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633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16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制度执行是否有效</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AA4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52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评价要点：</w:t>
            </w:r>
          </w:p>
          <w:p w14:paraId="11F1B6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①项目是否制定合理的实施计划，实施过程中是否遵守相关法律法规和相关管理规定，并按照规定程序实施项目，进度是否符合计划；</w:t>
            </w:r>
          </w:p>
          <w:p w14:paraId="6A0F51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②项目调整及支出调整手续是否完备，资产管理是否规范，是否开展监督检查、绩效监控和评价；</w:t>
            </w:r>
          </w:p>
          <w:p w14:paraId="45D3DB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③项目合同书、验收报告、技术鉴定、监督检查、绩效管理等资料是否齐全并及时归档；</w:t>
            </w:r>
          </w:p>
          <w:p w14:paraId="0BC7EB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④项目实施的组织机构、人员条件、场地设备、信息支撑等是否落实到位；</w:t>
            </w:r>
          </w:p>
          <w:p w14:paraId="58FC73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评分规则：以上评价要点各占25%权重，每个要点执行情况分达成、部分达成、未达成三档，按100%-80%（含）、80%-60%（含）、60%-0%评分。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FB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6</w:t>
            </w:r>
          </w:p>
        </w:tc>
      </w:tr>
      <w:tr w14:paraId="4F83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147B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AF6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DF1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林地变更调整手续完备性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F5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完备</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BE8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考察公益林林地因占用征收等情况是否及时办理变更调整手续，且达到占补平衡要求。</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86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7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FB6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①林地变更调整手续完备得2分，每发现一处公益林被占用变更调整手续不完整扣减权重的20%，扣完为止；</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②林地变更手续早于项目实施日期得2分，每发现一处公益林占用日期早于变更手续批复日期扣减权重的20%，扣完为止。</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8C0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r>
      <w:tr w14:paraId="7E0F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710F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1A4D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BD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保护标示牌和边界标志齐全程度</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848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齐全</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762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考察南京市生态公益林保护标示牌和边界标志设置情况。</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3A6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7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B1B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南京市生态公益林保护标示牌和边界标志“齐全”得6分，每发现一处公益林保护标示牌和边界标志设置不到位扣减0.5分，扣完为止。</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FE3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r>
      <w:tr w14:paraId="52AF6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6BA2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3464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5C6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管护合同签订与执行的严谨性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B1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严谨</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F0D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察生态公益林管护是否按要求签订公益林管护合同，护林员管护责任是否划分明确、配备合理；以及街镇是否加强护林员日常巡查情况监管，实行定期、不定期暗访、检查；区林业主管部门是否对街镇护林员工作履职情况进行检查、监督。</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A11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6</w:t>
            </w:r>
          </w:p>
        </w:tc>
        <w:tc>
          <w:tcPr>
            <w:tcW w:w="7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909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①各级公益林管护均签订了管护合同或责任书得2分，每发现一处未签订或未及时签订管护合同扣减0.1分，扣完为止；</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②签订的管护合同签订明确、及时、及确定的管护面积合理得2分，每发现一处管护合同签订不明确等扣减0.1分，扣完为止。</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③林业主管部门及街镇强化了对护林员的监督检查得2分，否则根据调研情况酌情得分。</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0D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r>
      <w:tr w14:paraId="2A5C5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4EB9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EED9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BFD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档案管理健全性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7B3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C8C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考察生态公益林项目各级组织机构的档案管理情况。</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41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7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89D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①各级管护机构制定了完善的档案管理制度得</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分，每发现一例扣减0.1分，扣完为止；</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②各级管护机构档案管理分类明确、保管完备得</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分，每发现一例扣减0.2分，扣完为止。</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622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r>
      <w:tr w14:paraId="42F7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FF04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8DEF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863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生态公益林补偿和管理情况跟踪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8A8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D06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结合国家和省林业主管部门的工作部署，对区级生态公益林补偿和管理情况进行跟踪、监督。</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3B1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7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041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开展区级生态公益林补偿和管理工作跟踪得2分，否则不得分。</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63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r>
      <w:tr w14:paraId="5D60C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D297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B7A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5F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公益林补偿面积覆盖率</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4D8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6F0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考察南京市省级以上公益林、市级公益林的补偿面积。</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619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CB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①省级以上公益林面积覆盖率达100%及以上得4分，否则完成率每降低1%扣5%权重分；</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②市级公益林面积覆盖率达100%及以上得4分，否则完成率每降低1%扣5%权重分。</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FFD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r>
      <w:tr w14:paraId="31FF6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EA8C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23DE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0C5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重点公益林面积保存率</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87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148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考察省级以上公益林是否实现占补平衡。</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09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47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重点公益林面积保存率达100%得6分，否则每降低1%扣减权重的5%，扣完为止。</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17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r>
      <w:tr w14:paraId="3959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7E17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7AD8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B9A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防控森林火灾到位</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49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到位</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1DF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考察生态公益林防控森林火灾建设是否到位、是否发生森林火灾。</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09C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7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7D8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①南京市生态公益林森林火灾控制率在1.2公顷/次以下得3分，否则每降低1%扣减权重的5%，扣完为止；</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②南京市生态公益林森林火灾受害率不超过0.3‰得3分，否则每降低1%扣减权重的5%，扣完为止。</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45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r>
      <w:tr w14:paraId="0DEE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D392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7D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E7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长效管理机制健全</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1D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9E4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考察生态公益林补偿项目是否建立了长效管理机制。</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C8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7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0E4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①建立了生态公益林管护工作职责（市、区、街镇）且职责明确得2分（市、区、街道各占权重的1/3，每发现一处未建立管护职责扣减该权重的对应分数）；</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②建立了生态公益林监督考核机制得2分，包括市级对各辖区的监督考核（1分）、区级对辖区生态公益林监督考核指导机制（1分）（每发现一区未建立扣减0.2分）；</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③建立稳定可靠、使用高效的经费保障机制得1分；</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④建立了经费动态化调整机制，筹措经费能满足项目运行维护需要得1分，否则酌情得分。</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AB9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r>
      <w:tr w14:paraId="4DB7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B5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27D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C4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E4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0BE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通过对社会公众进行生态保护区域补偿项目的满意度调查。</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64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7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344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满意度≧85%得10分，80%≦比值&lt;80%得7.5分，70%≦比值&lt;80%得5分，60%≦比值&lt;70%得2.5分，&lt;60%不得分。</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2AD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r>
    </w:tbl>
    <w:p w14:paraId="5D159357">
      <w:pPr>
        <w:keepNext w:val="0"/>
        <w:keepLines w:val="0"/>
        <w:pageBreakBefore w:val="0"/>
        <w:widowControl w:val="0"/>
        <w:tabs>
          <w:tab w:val="left" w:pos="624"/>
          <w:tab w:val="left" w:pos="669"/>
        </w:tabs>
        <w:kinsoku/>
        <w:wordWrap/>
        <w:topLinePunct w:val="0"/>
        <w:bidi w:val="0"/>
        <w:snapToGrid w:val="0"/>
        <w:spacing w:line="560" w:lineRule="exact"/>
        <w:ind w:firstLine="640" w:firstLineChars="200"/>
        <w:jc w:val="center"/>
        <w:outlineLvl w:val="1"/>
        <w:rPr>
          <w:rFonts w:hint="eastAsia" w:ascii="黑体" w:hAnsi="黑体" w:eastAsia="黑体" w:cs="Calibri"/>
          <w:bCs/>
          <w:color w:val="000000" w:themeColor="text1"/>
          <w:sz w:val="32"/>
          <w:szCs w:val="32"/>
          <w:highlight w:val="none"/>
          <w14:textFill>
            <w14:solidFill>
              <w14:schemeClr w14:val="tx1"/>
            </w14:solidFill>
          </w14:textFill>
        </w:rPr>
      </w:pPr>
    </w:p>
    <w:p w14:paraId="035DF4DF">
      <w:pPr>
        <w:keepNext w:val="0"/>
        <w:keepLines w:val="0"/>
        <w:pageBreakBefore w:val="0"/>
        <w:widowControl w:val="0"/>
        <w:tabs>
          <w:tab w:val="left" w:pos="624"/>
          <w:tab w:val="left" w:pos="669"/>
        </w:tabs>
        <w:kinsoku/>
        <w:wordWrap/>
        <w:topLinePunct w:val="0"/>
        <w:bidi w:val="0"/>
        <w:snapToGrid w:val="0"/>
        <w:spacing w:line="560" w:lineRule="exact"/>
        <w:ind w:firstLine="640" w:firstLineChars="200"/>
        <w:jc w:val="center"/>
        <w:outlineLvl w:val="1"/>
        <w:rPr>
          <w:rFonts w:hint="eastAsia" w:ascii="黑体" w:hAnsi="黑体" w:eastAsia="黑体" w:cs="Calibri"/>
          <w:bCs/>
          <w:color w:val="000000" w:themeColor="text1"/>
          <w:sz w:val="32"/>
          <w:szCs w:val="32"/>
          <w:highlight w:val="none"/>
          <w14:textFill>
            <w14:solidFill>
              <w14:schemeClr w14:val="tx1"/>
            </w14:solidFill>
          </w14:textFill>
        </w:rPr>
      </w:pPr>
    </w:p>
    <w:p w14:paraId="08E86EBC">
      <w:pPr>
        <w:overflowPunct w:val="0"/>
        <w:autoSpaceDE w:val="0"/>
        <w:autoSpaceDN w:val="0"/>
        <w:adjustRightInd w:val="0"/>
        <w:snapToGrid w:val="0"/>
        <w:spacing w:line="560" w:lineRule="exact"/>
        <w:ind w:firstLine="560" w:firstLineChars="200"/>
        <w:jc w:val="both"/>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p>
    <w:sectPr>
      <w:pgSz w:w="16838" w:h="11906" w:orient="landscape"/>
      <w:pgMar w:top="1531" w:right="1440" w:bottom="1531" w:left="144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5ABE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DECBF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2DECBF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0336D"/>
    <w:multiLevelType w:val="singleLevel"/>
    <w:tmpl w:val="6000336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NzcwODNkNGY5NTMyZGY5MDI4YzgyZTI1NzkwNjAifQ=="/>
  </w:docVars>
  <w:rsids>
    <w:rsidRoot w:val="700D4274"/>
    <w:rsid w:val="020B55AD"/>
    <w:rsid w:val="041E68D5"/>
    <w:rsid w:val="06A12170"/>
    <w:rsid w:val="07116508"/>
    <w:rsid w:val="081349FD"/>
    <w:rsid w:val="09EC1A68"/>
    <w:rsid w:val="0AA72EF7"/>
    <w:rsid w:val="0D217B23"/>
    <w:rsid w:val="0E7668A2"/>
    <w:rsid w:val="0F855BBA"/>
    <w:rsid w:val="0FEE6F61"/>
    <w:rsid w:val="10267E40"/>
    <w:rsid w:val="13D701F6"/>
    <w:rsid w:val="168C360A"/>
    <w:rsid w:val="1842138E"/>
    <w:rsid w:val="195A43B0"/>
    <w:rsid w:val="198619E0"/>
    <w:rsid w:val="19E50777"/>
    <w:rsid w:val="19FA4391"/>
    <w:rsid w:val="1C8222BC"/>
    <w:rsid w:val="1D177C65"/>
    <w:rsid w:val="1DF6190D"/>
    <w:rsid w:val="1E0449FC"/>
    <w:rsid w:val="1E1B718A"/>
    <w:rsid w:val="21E55AC8"/>
    <w:rsid w:val="21EC2CF0"/>
    <w:rsid w:val="22F80024"/>
    <w:rsid w:val="24104954"/>
    <w:rsid w:val="25897820"/>
    <w:rsid w:val="25F95EBA"/>
    <w:rsid w:val="262A436F"/>
    <w:rsid w:val="29703E1C"/>
    <w:rsid w:val="2A5E31F4"/>
    <w:rsid w:val="2BE924C1"/>
    <w:rsid w:val="2C7C6B2F"/>
    <w:rsid w:val="2D7549D3"/>
    <w:rsid w:val="2FEB3E4E"/>
    <w:rsid w:val="33BD2A3D"/>
    <w:rsid w:val="33DE40E8"/>
    <w:rsid w:val="343A7B7E"/>
    <w:rsid w:val="349D0D05"/>
    <w:rsid w:val="34E62E5C"/>
    <w:rsid w:val="358A326C"/>
    <w:rsid w:val="37461CF1"/>
    <w:rsid w:val="37F56F1B"/>
    <w:rsid w:val="38DF33DD"/>
    <w:rsid w:val="39224D89"/>
    <w:rsid w:val="3A637014"/>
    <w:rsid w:val="3D1C3C55"/>
    <w:rsid w:val="3DC57D83"/>
    <w:rsid w:val="3E3C3F63"/>
    <w:rsid w:val="40964395"/>
    <w:rsid w:val="42947DF5"/>
    <w:rsid w:val="42B073AE"/>
    <w:rsid w:val="42C72F9A"/>
    <w:rsid w:val="452229F6"/>
    <w:rsid w:val="4A9A30F3"/>
    <w:rsid w:val="4B050E5B"/>
    <w:rsid w:val="4D2A3A96"/>
    <w:rsid w:val="4E263014"/>
    <w:rsid w:val="4F2A7421"/>
    <w:rsid w:val="505F7140"/>
    <w:rsid w:val="50C32671"/>
    <w:rsid w:val="53EC44EE"/>
    <w:rsid w:val="55E51C1C"/>
    <w:rsid w:val="55F02D57"/>
    <w:rsid w:val="56EA44C1"/>
    <w:rsid w:val="597005B5"/>
    <w:rsid w:val="59C45880"/>
    <w:rsid w:val="59FE149C"/>
    <w:rsid w:val="5B663F25"/>
    <w:rsid w:val="5DC558D2"/>
    <w:rsid w:val="5F305DA7"/>
    <w:rsid w:val="60FD5102"/>
    <w:rsid w:val="61813D1D"/>
    <w:rsid w:val="61C06BE0"/>
    <w:rsid w:val="67E0231D"/>
    <w:rsid w:val="68317ADF"/>
    <w:rsid w:val="68F14D31"/>
    <w:rsid w:val="69492224"/>
    <w:rsid w:val="69A52220"/>
    <w:rsid w:val="69FE6E79"/>
    <w:rsid w:val="6BB320FC"/>
    <w:rsid w:val="6C3B0AD6"/>
    <w:rsid w:val="6E46638E"/>
    <w:rsid w:val="6EF10D3F"/>
    <w:rsid w:val="700D4274"/>
    <w:rsid w:val="7144694D"/>
    <w:rsid w:val="71DA6D75"/>
    <w:rsid w:val="71F65529"/>
    <w:rsid w:val="71FB6130"/>
    <w:rsid w:val="72151204"/>
    <w:rsid w:val="760C7AE8"/>
    <w:rsid w:val="76290190"/>
    <w:rsid w:val="76E45DD4"/>
    <w:rsid w:val="77AD714A"/>
    <w:rsid w:val="78B557F4"/>
    <w:rsid w:val="78E91F10"/>
    <w:rsid w:val="7B8A6274"/>
    <w:rsid w:val="7BB35A81"/>
    <w:rsid w:val="7C63164A"/>
    <w:rsid w:val="7C772D1D"/>
    <w:rsid w:val="7D99773C"/>
    <w:rsid w:val="7EC3739E"/>
    <w:rsid w:val="7FAF208A"/>
    <w:rsid w:val="7FE94D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jc w:val="center"/>
    </w:pPr>
    <w:rPr>
      <w:rFonts w:eastAsia="仿宋_GB2312"/>
      <w:sz w:val="28"/>
    </w:rPr>
  </w:style>
  <w:style w:type="paragraph" w:styleId="3">
    <w:name w:val="toc 2"/>
    <w:basedOn w:val="1"/>
    <w:next w:val="1"/>
    <w:autoRedefine/>
    <w:semiHidden/>
    <w:qFormat/>
    <w:uiPriority w:val="0"/>
    <w:pPr>
      <w:ind w:left="420" w:leftChars="200"/>
    </w:pPr>
    <w:rPr>
      <w:szCs w:val="20"/>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autoRedefine/>
    <w:qFormat/>
    <w:uiPriority w:val="0"/>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0">
    <w:name w:val="List Paragraph"/>
    <w:basedOn w:val="1"/>
    <w:autoRedefine/>
    <w:qFormat/>
    <w:uiPriority w:val="34"/>
    <w:pPr>
      <w:widowControl w:val="0"/>
      <w:ind w:firstLine="420" w:firstLineChars="200"/>
      <w:jc w:val="both"/>
    </w:pPr>
    <w:rPr>
      <w:rFonts w:ascii="Calibri" w:hAnsi="Calibri" w:eastAsia="宋体" w:cs="Times New Roman"/>
      <w:kern w:val="2"/>
      <w:sz w:val="21"/>
      <w:szCs w:val="22"/>
    </w:rPr>
  </w:style>
  <w:style w:type="paragraph" w:customStyle="1" w:styleId="11">
    <w:name w:val="WPSOffice手动目录 1"/>
    <w:autoRedefine/>
    <w:qFormat/>
    <w:uiPriority w:val="0"/>
    <w:pPr>
      <w:ind w:leftChars="0"/>
    </w:pPr>
    <w:rPr>
      <w:rFonts w:ascii="Times New Roman" w:hAnsi="Times New Roman" w:eastAsia="宋体" w:cs="Times New Roman"/>
      <w:sz w:val="20"/>
      <w:szCs w:val="20"/>
    </w:rPr>
  </w:style>
  <w:style w:type="paragraph" w:customStyle="1" w:styleId="12">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1993</Words>
  <Characters>2479</Characters>
  <Lines>0</Lines>
  <Paragraphs>0</Paragraphs>
  <TotalTime>61</TotalTime>
  <ScaleCrop>false</ScaleCrop>
  <LinksUpToDate>false</LinksUpToDate>
  <CharactersWithSpaces>2512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2021-07-01T01:02:00Z</dcterms:created>
  <dc:creator>zqj</dc:creator>
  <cp:lastModifiedBy>唐青海</cp:lastModifiedBy>
  <cp:lastPrinted>2025-11-25T02:00:00Z</cp:lastPrinted>
  <dcterms:modified xsi:type="dcterms:W3CDTF">2026-02-13T00:51:11Z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6233ACD087D14749902FF5BACDDD2562_13</vt:lpwstr>
  </property>
  <property fmtid="{D5CDD505-2E9C-101B-9397-08002B2CF9AE}" pid="4" name="KSOTemplateDocerSaveRecord">
    <vt:lpwstr>eyJoZGlkIjoiYzE2NzcwODNkNGY5NTMyZGY5MDI4YzgyZTI1NzkwNjAiLCJ1c2VySWQiOiIyNzQwNjA5MTEifQ==</vt:lpwstr>
  </property>
</Properties>
</file>